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00" w:type="dxa"/>
        <w:tblCellSpacing w:w="15" w:type="dxa"/>
        <w:tblBorders>
          <w:top w:val="single" w:sz="6" w:space="0" w:color="DBD6D6"/>
          <w:left w:val="single" w:sz="48" w:space="0" w:color="B13125"/>
          <w:bottom w:val="single" w:sz="6" w:space="0" w:color="DBD6D6"/>
          <w:right w:val="single" w:sz="6" w:space="0" w:color="DBD6D6"/>
        </w:tblBorders>
        <w:tblCellMar>
          <w:left w:w="75" w:type="dxa"/>
        </w:tblCellMar>
        <w:tblLook w:val="04A0" w:firstRow="1" w:lastRow="0" w:firstColumn="1" w:lastColumn="0" w:noHBand="0" w:noVBand="1"/>
      </w:tblPr>
      <w:tblGrid>
        <w:gridCol w:w="5055"/>
        <w:gridCol w:w="4530"/>
        <w:gridCol w:w="5565"/>
      </w:tblGrid>
      <w:tr w:rsidR="00304888" w:rsidTr="00304888">
        <w:trPr>
          <w:tblCellSpacing w:w="15" w:type="dxa"/>
        </w:trPr>
        <w:tc>
          <w:tcPr>
            <w:tcW w:w="4500" w:type="dxa"/>
            <w:tcBorders>
              <w:top w:val="nil"/>
              <w:left w:val="nil"/>
              <w:bottom w:val="nil"/>
              <w:right w:val="nil"/>
            </w:tcBorders>
            <w:tcMar>
              <w:top w:w="15" w:type="dxa"/>
              <w:left w:w="75" w:type="dxa"/>
              <w:bottom w:w="15" w:type="dxa"/>
              <w:right w:w="15" w:type="dxa"/>
            </w:tcMar>
            <w:vAlign w:val="center"/>
            <w:hideMark/>
          </w:tcPr>
          <w:p w:rsidR="00304888" w:rsidRDefault="00304888">
            <w:pPr>
              <w:rPr>
                <w:rFonts w:ascii="宋体" w:eastAsia="宋体" w:hAnsi="宋体" w:cs="宋体"/>
                <w:sz w:val="24"/>
                <w:szCs w:val="24"/>
              </w:rPr>
            </w:pPr>
            <w:r>
              <w:rPr>
                <w:noProof/>
              </w:rPr>
              <w:drawing>
                <wp:inline distT="0" distB="0" distL="0" distR="0" wp14:anchorId="54ACA36D" wp14:editId="7E067BDD">
                  <wp:extent cx="3124200" cy="1514475"/>
                  <wp:effectExtent l="0" t="0" r="0" b="9525"/>
                  <wp:docPr id="56" name="图片 56" descr="http://www.starhousechina.com/M/img/工商快报/工商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arhousechina.com/M/img/工商快报/工商快报.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tc>
        <w:tc>
          <w:tcPr>
            <w:tcW w:w="4500" w:type="dxa"/>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4500" w:type="dxa"/>
            <w:tcBorders>
              <w:top w:val="nil"/>
              <w:left w:val="nil"/>
              <w:bottom w:val="nil"/>
              <w:right w:val="nil"/>
            </w:tcBorders>
            <w:tcMar>
              <w:top w:w="15" w:type="dxa"/>
              <w:left w:w="75" w:type="dxa"/>
              <w:bottom w:w="15" w:type="dxa"/>
              <w:right w:w="15" w:type="dxa"/>
            </w:tcMar>
            <w:vAlign w:val="center"/>
            <w:hideMark/>
          </w:tcPr>
          <w:p w:rsidR="00304888" w:rsidRDefault="00304888">
            <w:pPr>
              <w:rPr>
                <w:rFonts w:ascii="宋体" w:hAnsi="宋体" w:cs="宋体"/>
                <w:sz w:val="24"/>
                <w:szCs w:val="24"/>
              </w:rPr>
            </w:pPr>
            <w:r>
              <w:rPr>
                <w:noProof/>
              </w:rPr>
              <w:drawing>
                <wp:inline distT="0" distB="0" distL="0" distR="0" wp14:anchorId="59CAC35F" wp14:editId="52B5F78A">
                  <wp:extent cx="2352675" cy="714375"/>
                  <wp:effectExtent l="0" t="0" r="9525" b="9525"/>
                  <wp:docPr id="55" name="图片 55" descr="http://www.starhousechina.com/M/img/工商快报/华房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arhousechina.com/M/img/工商快报/华房数据.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714375"/>
                          </a:xfrm>
                          <a:prstGeom prst="rect">
                            <a:avLst/>
                          </a:prstGeom>
                          <a:noFill/>
                          <a:ln>
                            <a:noFill/>
                          </a:ln>
                        </pic:spPr>
                      </pic:pic>
                    </a:graphicData>
                  </a:graphic>
                </wp:inline>
              </w:drawing>
            </w:r>
          </w:p>
          <w:p w:rsidR="00304888" w:rsidRDefault="00304888">
            <w:pPr>
              <w:jc w:val="center"/>
              <w:rPr>
                <w:rFonts w:ascii="宋体" w:eastAsia="宋体" w:hAnsi="宋体" w:cs="宋体"/>
                <w:sz w:val="38"/>
                <w:szCs w:val="38"/>
              </w:rPr>
            </w:pPr>
            <w:r>
              <w:rPr>
                <w:rFonts w:hint="eastAsia"/>
                <w:sz w:val="38"/>
                <w:szCs w:val="38"/>
              </w:rPr>
              <w:t>2015</w:t>
            </w:r>
            <w:r>
              <w:rPr>
                <w:rFonts w:hint="eastAsia"/>
                <w:sz w:val="38"/>
                <w:szCs w:val="38"/>
              </w:rPr>
              <w:t>年</w:t>
            </w:r>
            <w:r>
              <w:rPr>
                <w:rFonts w:hint="eastAsia"/>
                <w:sz w:val="38"/>
                <w:szCs w:val="38"/>
              </w:rPr>
              <w:t>4</w:t>
            </w:r>
            <w:r>
              <w:rPr>
                <w:rFonts w:hint="eastAsia"/>
                <w:sz w:val="38"/>
                <w:szCs w:val="38"/>
              </w:rPr>
              <w:t>月</w:t>
            </w:r>
            <w:r>
              <w:rPr>
                <w:rFonts w:hint="eastAsia"/>
                <w:sz w:val="38"/>
                <w:szCs w:val="38"/>
              </w:rPr>
              <w:t>22</w:t>
            </w:r>
            <w:r>
              <w:rPr>
                <w:rFonts w:hint="eastAsia"/>
                <w:sz w:val="38"/>
                <w:szCs w:val="38"/>
              </w:rPr>
              <w:t>日</w:t>
            </w:r>
            <w:r>
              <w:rPr>
                <w:rFonts w:hint="eastAsia"/>
                <w:sz w:val="38"/>
                <w:szCs w:val="38"/>
              </w:rPr>
              <w:t xml:space="preserve"> </w:t>
            </w:r>
            <w:r>
              <w:rPr>
                <w:rFonts w:hint="eastAsia"/>
                <w:sz w:val="38"/>
                <w:szCs w:val="38"/>
              </w:rPr>
              <w:t>第</w:t>
            </w:r>
            <w:r>
              <w:rPr>
                <w:rFonts w:hint="eastAsia"/>
                <w:sz w:val="38"/>
                <w:szCs w:val="38"/>
              </w:rPr>
              <w:t>8</w:t>
            </w:r>
            <w:r>
              <w:rPr>
                <w:rFonts w:hint="eastAsia"/>
                <w:sz w:val="38"/>
                <w:szCs w:val="38"/>
              </w:rPr>
              <w:t>期</w:t>
            </w:r>
          </w:p>
        </w:tc>
      </w:tr>
      <w:tr w:rsidR="00304888" w:rsidTr="00304888">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304888" w:rsidRDefault="00304888">
            <w:pPr>
              <w:rPr>
                <w:rFonts w:ascii="宋体" w:eastAsia="宋体" w:hAnsi="宋体" w:cs="宋体"/>
                <w:sz w:val="24"/>
                <w:szCs w:val="24"/>
              </w:rPr>
            </w:pPr>
            <w:r>
              <w:rPr>
                <w:noProof/>
              </w:rPr>
              <w:drawing>
                <wp:inline distT="0" distB="0" distL="0" distR="0" wp14:anchorId="29E655C8" wp14:editId="04759BAC">
                  <wp:extent cx="9525000" cy="2524125"/>
                  <wp:effectExtent l="0" t="0" r="0" b="9525"/>
                  <wp:docPr id="54" name="图片 54" descr="http://www.starhousechina.com/M/img/工商快报/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arhousechina.com/M/img/工商快报/bann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2524125"/>
                          </a:xfrm>
                          <a:prstGeom prst="rect">
                            <a:avLst/>
                          </a:prstGeom>
                          <a:noFill/>
                          <a:ln>
                            <a:noFill/>
                          </a:ln>
                        </pic:spPr>
                      </pic:pic>
                    </a:graphicData>
                  </a:graphic>
                </wp:inline>
              </w:drawing>
            </w:r>
          </w:p>
        </w:tc>
      </w:tr>
      <w:tr w:rsidR="00304888" w:rsidTr="00304888">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r>
      <w:tr w:rsidR="00304888" w:rsidTr="00304888">
        <w:trPr>
          <w:tblCellSpacing w:w="15" w:type="dxa"/>
        </w:trPr>
        <w:tc>
          <w:tcPr>
            <w:tcW w:w="0" w:type="auto"/>
            <w:gridSpan w:val="2"/>
            <w:tcBorders>
              <w:top w:val="nil"/>
              <w:left w:val="nil"/>
              <w:bottom w:val="nil"/>
              <w:right w:val="nil"/>
            </w:tcBorders>
            <w:tcMar>
              <w:top w:w="15" w:type="dxa"/>
              <w:left w:w="75" w:type="dxa"/>
              <w:bottom w:w="15" w:type="dxa"/>
              <w:right w:w="15" w:type="dxa"/>
            </w:tcMar>
            <w:vAlign w:val="center"/>
            <w:hideMark/>
          </w:tcPr>
          <w:tbl>
            <w:tblPr>
              <w:tblW w:w="9450" w:type="dxa"/>
              <w:tblCellSpacing w:w="15" w:type="dxa"/>
              <w:tblLook w:val="04A0" w:firstRow="1" w:lastRow="0" w:firstColumn="1" w:lastColumn="0" w:noHBand="0" w:noVBand="1"/>
            </w:tblPr>
            <w:tblGrid>
              <w:gridCol w:w="945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2EE1C9F0" wp14:editId="270CB55C">
                        <wp:extent cx="5905500" cy="809625"/>
                        <wp:effectExtent l="0" t="0" r="0" b="9525"/>
                        <wp:docPr id="53" name="图片 53" descr="http://www.starhousechina.com/M/img/工商快报/大宗买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arhousechina.com/M/img/工商快报/大宗买卖.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80962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卖出</w:t>
                  </w:r>
                </w:p>
              </w:tc>
            </w:tr>
            <w:tr w:rsidR="00304888">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2015-04-13 北京市土地交易市场挂牌出让丰台区丽泽路E-01、E-05、E-06地块土地使用权，土地面积60898.21</w:t>
                        </w:r>
                        <w:r>
                          <w:rPr>
                            <w:rFonts w:ascii="Batang" w:eastAsia="Batang" w:hAnsi="Batang" w:cs="Batang" w:hint="eastAsia"/>
                            <w:sz w:val="20"/>
                            <w:szCs w:val="20"/>
                          </w:rPr>
                          <w:t>㎡</w:t>
                        </w:r>
                        <w:r>
                          <w:rPr>
                            <w:rFonts w:ascii="微软雅黑" w:eastAsia="微软雅黑" w:hAnsi="微软雅黑" w:cs="微软雅黑" w:hint="eastAsia"/>
                            <w:sz w:val="20"/>
                            <w:szCs w:val="20"/>
                          </w:rPr>
                          <w:t>，出让价格</w:t>
                        </w:r>
                        <w:r>
                          <w:rPr>
                            <w:rFonts w:ascii="微软雅黑" w:eastAsia="微软雅黑" w:hAnsi="微软雅黑" w:hint="eastAsia"/>
                            <w:sz w:val="20"/>
                            <w:szCs w:val="20"/>
                          </w:rPr>
                          <w:t xml:space="preserve">504000.00万元，商业用地。 </w:t>
                        </w:r>
                      </w:p>
                    </w:tc>
                  </w:tr>
                </w:tbl>
                <w:p w:rsidR="00304888" w:rsidRDefault="00304888">
                  <w:pPr>
                    <w:spacing w:line="375" w:lineRule="atLeas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2015-04-23 上海市土地交易市场挂牌出让浦东新区上海</w:t>
                        </w:r>
                        <w:proofErr w:type="gramStart"/>
                        <w:r>
                          <w:rPr>
                            <w:rFonts w:ascii="微软雅黑" w:eastAsia="微软雅黑" w:hAnsi="微软雅黑" w:hint="eastAsia"/>
                            <w:sz w:val="20"/>
                            <w:szCs w:val="20"/>
                          </w:rPr>
                          <w:t>世</w:t>
                        </w:r>
                        <w:proofErr w:type="gramEnd"/>
                        <w:r>
                          <w:rPr>
                            <w:rFonts w:ascii="微软雅黑" w:eastAsia="微软雅黑" w:hAnsi="微软雅黑" w:hint="eastAsia"/>
                            <w:sz w:val="20"/>
                            <w:szCs w:val="20"/>
                          </w:rPr>
                          <w:t>博会地区A03C-01地块土地使用权，土地面积5578.60</w:t>
                        </w:r>
                        <w:r>
                          <w:rPr>
                            <w:rFonts w:ascii="Batang" w:eastAsia="Batang" w:hAnsi="Batang" w:cs="Batang" w:hint="eastAsia"/>
                            <w:sz w:val="20"/>
                            <w:szCs w:val="20"/>
                          </w:rPr>
                          <w:t>㎡</w:t>
                        </w:r>
                        <w:r>
                          <w:rPr>
                            <w:rFonts w:ascii="微软雅黑" w:eastAsia="微软雅黑" w:hAnsi="微软雅黑" w:cs="微软雅黑" w:hint="eastAsia"/>
                            <w:sz w:val="20"/>
                            <w:szCs w:val="20"/>
                          </w:rPr>
                          <w:t>，出让价格</w:t>
                        </w:r>
                        <w:r>
                          <w:rPr>
                            <w:rFonts w:ascii="微软雅黑" w:eastAsia="微软雅黑" w:hAnsi="微软雅黑" w:hint="eastAsia"/>
                            <w:sz w:val="20"/>
                            <w:szCs w:val="20"/>
                          </w:rPr>
                          <w:t xml:space="preserve">75520.00万元，商办用地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2015-04-22 上海市土地交易市场挂牌出让奉贤区海湾镇16-01区域地块土地使用权，土地面积51544.20</w:t>
                        </w:r>
                        <w:r>
                          <w:rPr>
                            <w:rFonts w:ascii="Batang" w:eastAsia="Batang" w:hAnsi="Batang" w:cs="Batang" w:hint="eastAsia"/>
                            <w:sz w:val="20"/>
                            <w:szCs w:val="20"/>
                          </w:rPr>
                          <w:t>㎡</w:t>
                        </w:r>
                        <w:r>
                          <w:rPr>
                            <w:rFonts w:ascii="微软雅黑" w:eastAsia="微软雅黑" w:hAnsi="微软雅黑" w:cs="微软雅黑" w:hint="eastAsia"/>
                            <w:sz w:val="20"/>
                            <w:szCs w:val="20"/>
                          </w:rPr>
                          <w:t>，出让价格</w:t>
                        </w:r>
                        <w:r>
                          <w:rPr>
                            <w:rFonts w:ascii="微软雅黑" w:eastAsia="微软雅黑" w:hAnsi="微软雅黑" w:hint="eastAsia"/>
                            <w:sz w:val="20"/>
                            <w:szCs w:val="20"/>
                          </w:rPr>
                          <w:t xml:space="preserve">23056.00万元，商业用地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2015-04-10 上海市土地交易市场挂牌出让崇明县陈家镇CMSA0003单元18A-04A（裕安中心区11号）地块土地使用权，土地面积28529.70</w:t>
                        </w:r>
                        <w:r>
                          <w:rPr>
                            <w:rFonts w:ascii="Batang" w:eastAsia="Batang" w:hAnsi="Batang" w:cs="Batang" w:hint="eastAsia"/>
                            <w:sz w:val="20"/>
                            <w:szCs w:val="20"/>
                          </w:rPr>
                          <w:t>㎡</w:t>
                        </w:r>
                        <w:r>
                          <w:rPr>
                            <w:rFonts w:ascii="微软雅黑" w:eastAsia="微软雅黑" w:hAnsi="微软雅黑" w:cs="微软雅黑" w:hint="eastAsia"/>
                            <w:sz w:val="20"/>
                            <w:szCs w:val="20"/>
                          </w:rPr>
                          <w:t>，出让价格</w:t>
                        </w:r>
                        <w:r>
                          <w:rPr>
                            <w:rFonts w:ascii="微软雅黑" w:eastAsia="微软雅黑" w:hAnsi="微软雅黑" w:hint="eastAsia"/>
                            <w:sz w:val="20"/>
                            <w:szCs w:val="20"/>
                          </w:rPr>
                          <w:t xml:space="preserve">5748.00万元，商业用地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2015-04-23 广州市国土资源和房屋管理局挂牌出让天河区黄云路华美牛奶厂AT1008045地块土地使用权，土地面积13938.60</w:t>
                        </w:r>
                        <w:r>
                          <w:rPr>
                            <w:rFonts w:ascii="Batang" w:eastAsia="Batang" w:hAnsi="Batang" w:cs="Batang" w:hint="eastAsia"/>
                            <w:sz w:val="20"/>
                            <w:szCs w:val="20"/>
                          </w:rPr>
                          <w:t>㎡</w:t>
                        </w:r>
                        <w:r>
                          <w:rPr>
                            <w:rFonts w:ascii="微软雅黑" w:eastAsia="微软雅黑" w:hAnsi="微软雅黑" w:cs="微软雅黑" w:hint="eastAsia"/>
                            <w:sz w:val="20"/>
                            <w:szCs w:val="20"/>
                          </w:rPr>
                          <w:t>，出让价格</w:t>
                        </w:r>
                        <w:r>
                          <w:rPr>
                            <w:rFonts w:ascii="微软雅黑" w:eastAsia="微软雅黑" w:hAnsi="微软雅黑" w:hint="eastAsia"/>
                            <w:sz w:val="20"/>
                            <w:szCs w:val="20"/>
                          </w:rPr>
                          <w:t xml:space="preserve">19972.00万元，商业用地  </w:t>
                        </w:r>
                      </w:p>
                    </w:tc>
                  </w:tr>
                </w:tbl>
                <w:p w:rsidR="00304888" w:rsidRDefault="00304888">
                  <w:pPr>
                    <w:rPr>
                      <w:rFonts w:ascii="Times New Roman" w:eastAsia="宋体" w:hAnsi="Times New Roman" w:cs="Times New Roman"/>
                      <w:sz w:val="20"/>
                      <w:szCs w:val="20"/>
                    </w:rPr>
                  </w:pP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买进</w:t>
                  </w:r>
                </w:p>
              </w:tc>
            </w:tr>
            <w:tr w:rsidR="00304888">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2015-04-21 广州家和企业集团有限公司挂牌竞得天河区黄云路华美牛奶厂AT1008045地块土地使用权，土地面积13938.60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19972.00万元，商业用地  </w:t>
                        </w:r>
                      </w:p>
                    </w:tc>
                  </w:tr>
                </w:tbl>
                <w:p w:rsidR="00304888" w:rsidRDefault="00304888">
                  <w:pPr>
                    <w:spacing w:line="375" w:lineRule="atLeas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2015-04-21 东莞市中</w:t>
                        </w:r>
                        <w:proofErr w:type="gramStart"/>
                        <w:r>
                          <w:rPr>
                            <w:rFonts w:ascii="微软雅黑" w:eastAsia="微软雅黑" w:hAnsi="微软雅黑" w:hint="eastAsia"/>
                            <w:sz w:val="20"/>
                            <w:szCs w:val="20"/>
                          </w:rPr>
                          <w:t>惠熙元物业</w:t>
                        </w:r>
                        <w:proofErr w:type="gramEnd"/>
                        <w:r>
                          <w:rPr>
                            <w:rFonts w:ascii="微软雅黑" w:eastAsia="微软雅黑" w:hAnsi="微软雅黑" w:hint="eastAsia"/>
                            <w:sz w:val="20"/>
                            <w:szCs w:val="20"/>
                          </w:rPr>
                          <w:t>投资有限公司挂牌竞得天河区高唐新建</w:t>
                        </w:r>
                        <w:proofErr w:type="gramStart"/>
                        <w:r>
                          <w:rPr>
                            <w:rFonts w:ascii="微软雅黑" w:eastAsia="微软雅黑" w:hAnsi="微软雅黑" w:hint="eastAsia"/>
                            <w:sz w:val="20"/>
                            <w:szCs w:val="20"/>
                          </w:rPr>
                          <w:t>区旧羊山</w:t>
                        </w:r>
                        <w:proofErr w:type="gramEnd"/>
                        <w:r>
                          <w:rPr>
                            <w:rFonts w:ascii="微软雅黑" w:eastAsia="微软雅黑" w:hAnsi="微软雅黑" w:hint="eastAsia"/>
                            <w:sz w:val="20"/>
                            <w:szCs w:val="20"/>
                          </w:rPr>
                          <w:t>以南、天慧路以西AT0305189地块土地使用权，土地面积14469.00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9500.00万元，商办用地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2015-04-16 深圳</w:t>
                        </w:r>
                        <w:proofErr w:type="gramStart"/>
                        <w:r>
                          <w:rPr>
                            <w:rFonts w:ascii="微软雅黑" w:eastAsia="微软雅黑" w:hAnsi="微软雅黑" w:hint="eastAsia"/>
                            <w:sz w:val="20"/>
                            <w:szCs w:val="20"/>
                          </w:rPr>
                          <w:t>深中润投资</w:t>
                        </w:r>
                        <w:proofErr w:type="gramEnd"/>
                        <w:r>
                          <w:rPr>
                            <w:rFonts w:ascii="微软雅黑" w:eastAsia="微软雅黑" w:hAnsi="微软雅黑" w:hint="eastAsia"/>
                            <w:sz w:val="20"/>
                            <w:szCs w:val="20"/>
                          </w:rPr>
                          <w:t>控股有限公司、深圳前海君临融资租赁有限公司挂牌竞得福田区深南香蜜立交西北侧土地使用权，土地面积6941.25</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45800.00万元，商业用地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2015-04-09 西藏安宁投资合伙企业（有限合伙）挂牌竞得南京市秦淮区汉西门大街与汉中路夹角地块土地使用权，土地面积14189.32</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89000.00万元，商办用地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2015-04-09 银</w:t>
                        </w:r>
                        <w:proofErr w:type="gramStart"/>
                        <w:r>
                          <w:rPr>
                            <w:rFonts w:ascii="微软雅黑" w:eastAsia="微软雅黑" w:hAnsi="微软雅黑" w:hint="eastAsia"/>
                            <w:sz w:val="20"/>
                            <w:szCs w:val="20"/>
                          </w:rPr>
                          <w:t>江科技</w:t>
                        </w:r>
                        <w:proofErr w:type="gramEnd"/>
                        <w:r>
                          <w:rPr>
                            <w:rFonts w:ascii="微软雅黑" w:eastAsia="微软雅黑" w:hAnsi="微软雅黑" w:hint="eastAsia"/>
                            <w:sz w:val="20"/>
                            <w:szCs w:val="20"/>
                          </w:rPr>
                          <w:t>集团有限公司挂牌竞得杭州市拱</w:t>
                        </w:r>
                        <w:proofErr w:type="gramStart"/>
                        <w:r>
                          <w:rPr>
                            <w:rFonts w:ascii="微软雅黑" w:eastAsia="微软雅黑" w:hAnsi="微软雅黑" w:hint="eastAsia"/>
                            <w:sz w:val="20"/>
                            <w:szCs w:val="20"/>
                          </w:rPr>
                          <w:t>墅</w:t>
                        </w:r>
                        <w:proofErr w:type="gramEnd"/>
                        <w:r>
                          <w:rPr>
                            <w:rFonts w:ascii="微软雅黑" w:eastAsia="微软雅黑" w:hAnsi="微软雅黑" w:hint="eastAsia"/>
                            <w:sz w:val="20"/>
                            <w:szCs w:val="20"/>
                          </w:rPr>
                          <w:t>区申花单元B1/B2-01地块土地使用权，土地面积6330.00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9168.00万元，商办用地  </w:t>
                        </w:r>
                      </w:p>
                    </w:tc>
                  </w:tr>
                </w:tbl>
                <w:p w:rsidR="00304888" w:rsidRDefault="00304888">
                  <w:pPr>
                    <w:rPr>
                      <w:rFonts w:ascii="Times New Roman" w:eastAsia="宋体" w:hAnsi="Times New Roman" w:cs="Times New Roman"/>
                      <w:sz w:val="20"/>
                      <w:szCs w:val="20"/>
                    </w:rPr>
                  </w:pP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2D96549A" wp14:editId="7B386B0A">
                        <wp:extent cx="5867400" cy="800100"/>
                        <wp:effectExtent l="0" t="0" r="0" b="0"/>
                        <wp:docPr id="52" name="图片 52" descr="http://www.starhousechina.com/M/img/工商快报/市场资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arhousechina.com/M/img/工商快报/市场资讯.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800100"/>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长和系重组方案股东会通过 和记黄埔将除牌</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新华网 2015-04-21</w:t>
                        </w:r>
                        <w:r>
                          <w:rPr>
                            <w:rFonts w:ascii="微软雅黑" w:eastAsia="微软雅黑" w:hAnsi="微软雅黑" w:hint="eastAsia"/>
                            <w:sz w:val="20"/>
                            <w:szCs w:val="20"/>
                          </w:rPr>
                          <w:br/>
                          <w:t>李嘉诚旗下的长江和记实业有限公司及和记黄埔</w:t>
                        </w:r>
                        <w:proofErr w:type="gramStart"/>
                        <w:r>
                          <w:rPr>
                            <w:rFonts w:ascii="微软雅黑" w:eastAsia="微软雅黑" w:hAnsi="微软雅黑" w:hint="eastAsia"/>
                            <w:sz w:val="20"/>
                            <w:szCs w:val="20"/>
                          </w:rPr>
                          <w:t>有限公司有限公司</w:t>
                        </w:r>
                        <w:proofErr w:type="gramEnd"/>
                        <w:r>
                          <w:rPr>
                            <w:rFonts w:ascii="微软雅黑" w:eastAsia="微软雅黑" w:hAnsi="微软雅黑" w:hint="eastAsia"/>
                            <w:sz w:val="20"/>
                            <w:szCs w:val="20"/>
                          </w:rPr>
                          <w:t xml:space="preserve">20日晚联合发布公告，当日股东会通过集团重组方案。长江实业与和记黄埔合并为长和公司，合并方式是通过股份互换。 </w:t>
                        </w:r>
                      </w:p>
                    </w:tc>
                  </w:tr>
                </w:tbl>
                <w:p w:rsidR="00304888" w:rsidRDefault="00304888">
                  <w:pPr>
                    <w:spacing w:line="375" w:lineRule="atLeast"/>
                    <w:rPr>
                      <w:rFonts w:ascii="微软雅黑" w:eastAsia="微软雅黑" w:hAnsi="微软雅黑" w:cs="宋体"/>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佳兆业财务报表暗礁暴露 郭英成加速套现</w:t>
                        </w:r>
                        <w:proofErr w:type="gramStart"/>
                        <w:r>
                          <w:rPr>
                            <w:rFonts w:ascii="微软雅黑" w:eastAsia="微软雅黑" w:hAnsi="微软雅黑" w:hint="eastAsia"/>
                            <w:b/>
                            <w:bCs/>
                            <w:color w:val="800000"/>
                            <w:szCs w:val="21"/>
                          </w:rPr>
                          <w:t>疑</w:t>
                        </w:r>
                        <w:proofErr w:type="gramEnd"/>
                        <w:r>
                          <w:rPr>
                            <w:rFonts w:ascii="微软雅黑" w:eastAsia="微软雅黑" w:hAnsi="微软雅黑" w:hint="eastAsia"/>
                            <w:b/>
                            <w:bCs/>
                            <w:color w:val="800000"/>
                            <w:szCs w:val="21"/>
                          </w:rPr>
                          <w:t>要撤离</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每日经济新闻 2015-04-22</w:t>
                        </w:r>
                        <w:r>
                          <w:rPr>
                            <w:rFonts w:ascii="微软雅黑" w:eastAsia="微软雅黑" w:hAnsi="微软雅黑" w:hint="eastAsia"/>
                            <w:sz w:val="20"/>
                            <w:szCs w:val="20"/>
                          </w:rPr>
                          <w:br/>
                          <w:t>尽管创始人郭英成宣布复职董事会主席，二股东生命人寿此前也出手相助，但佳兆业的前景不妙。佳兆</w:t>
                        </w:r>
                        <w:proofErr w:type="gramStart"/>
                        <w:r>
                          <w:rPr>
                            <w:rFonts w:ascii="微软雅黑" w:eastAsia="微软雅黑" w:hAnsi="微软雅黑" w:hint="eastAsia"/>
                            <w:sz w:val="20"/>
                            <w:szCs w:val="20"/>
                          </w:rPr>
                          <w:t>业昨日</w:t>
                        </w:r>
                        <w:proofErr w:type="gramEnd"/>
                        <w:r>
                          <w:rPr>
                            <w:rFonts w:ascii="微软雅黑" w:eastAsia="微软雅黑" w:hAnsi="微软雅黑" w:hint="eastAsia"/>
                            <w:sz w:val="20"/>
                            <w:szCs w:val="20"/>
                          </w:rPr>
                          <w:t>(4月21日)发布的公告显示，公司两笔离岸债券没有在宽限期内完成付息，正式成为首家境外债券违约的</w:t>
                        </w:r>
                        <w:proofErr w:type="gramStart"/>
                        <w:r>
                          <w:rPr>
                            <w:rFonts w:ascii="微软雅黑" w:eastAsia="微软雅黑" w:hAnsi="微软雅黑" w:hint="eastAsia"/>
                            <w:sz w:val="20"/>
                            <w:szCs w:val="20"/>
                          </w:rPr>
                          <w:t>内地房企</w:t>
                        </w:r>
                        <w:proofErr w:type="gramEnd"/>
                        <w:r>
                          <w:rPr>
                            <w:rFonts w:ascii="微软雅黑" w:eastAsia="微软雅黑" w:hAnsi="微软雅黑" w:hint="eastAsia"/>
                            <w:sz w:val="20"/>
                            <w:szCs w:val="20"/>
                          </w:rPr>
                          <w:t xml:space="preserve">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佳兆业两笔美元债券违约 孙宏斌收购前景仍未明</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每日经济新闻 2015-04-22</w:t>
                        </w:r>
                        <w:r>
                          <w:rPr>
                            <w:rFonts w:ascii="微软雅黑" w:eastAsia="微软雅黑" w:hAnsi="微软雅黑" w:hint="eastAsia"/>
                            <w:sz w:val="20"/>
                            <w:szCs w:val="20"/>
                          </w:rPr>
                          <w:br/>
                          <w:t>尽管创始人郭英成宣布复职董事会主席，二股东生命人寿此前也出手相助，但佳兆业的前景不妙。佳兆业昨日（4月21日）发布的公告显示，公司两笔离岸债券没有在宽限期内完成付息，正式成为首家境外债券违约的内地房</w:t>
                        </w:r>
                        <w:proofErr w:type="gramStart"/>
                        <w:r>
                          <w:rPr>
                            <w:rFonts w:ascii="微软雅黑" w:eastAsia="微软雅黑" w:hAnsi="微软雅黑" w:hint="eastAsia"/>
                            <w:sz w:val="20"/>
                            <w:szCs w:val="20"/>
                          </w:rPr>
                          <w:t>企</w:t>
                        </w:r>
                        <w:proofErr w:type="gramEnd"/>
                        <w:r>
                          <w:rPr>
                            <w:rFonts w:ascii="微软雅黑" w:eastAsia="微软雅黑" w:hAnsi="微软雅黑" w:hint="eastAsia"/>
                            <w:sz w:val="20"/>
                            <w:szCs w:val="20"/>
                          </w:rPr>
                          <w:t xml:space="preserve">。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金融做辅助净利靠租金 万达五年完成轻资产化</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在商业地产</w:t>
                        </w:r>
                        <w:proofErr w:type="gramStart"/>
                        <w:r>
                          <w:rPr>
                            <w:rFonts w:ascii="微软雅黑" w:eastAsia="微软雅黑" w:hAnsi="微软雅黑" w:hint="eastAsia"/>
                            <w:sz w:val="20"/>
                            <w:szCs w:val="20"/>
                          </w:rPr>
                          <w:t>主业板块试</w:t>
                        </w:r>
                        <w:proofErr w:type="gramEnd"/>
                        <w:r>
                          <w:rPr>
                            <w:rFonts w:ascii="微软雅黑" w:eastAsia="微软雅黑" w:hAnsi="微软雅黑" w:hint="eastAsia"/>
                            <w:sz w:val="20"/>
                            <w:szCs w:val="20"/>
                          </w:rPr>
                          <w:t>水轻资产后，万达集团的轻资产野心进一步扩张。日前，万达集团董事长王健林在深交所演讲时首次披露，未来五年内万达商业地产将去房地产化，转型为一家商业投资服务企业，实现完全轻资产化。 2015-04-21</w:t>
                        </w:r>
                        <w:r>
                          <w:rPr>
                            <w:rFonts w:ascii="微软雅黑" w:eastAsia="微软雅黑" w:hAnsi="微软雅黑" w:hint="eastAsia"/>
                            <w:sz w:val="20"/>
                            <w:szCs w:val="20"/>
                          </w:rPr>
                          <w:br/>
                          <w:t>在商业地产</w:t>
                        </w:r>
                        <w:proofErr w:type="gramStart"/>
                        <w:r>
                          <w:rPr>
                            <w:rFonts w:ascii="微软雅黑" w:eastAsia="微软雅黑" w:hAnsi="微软雅黑" w:hint="eastAsia"/>
                            <w:sz w:val="20"/>
                            <w:szCs w:val="20"/>
                          </w:rPr>
                          <w:t>主业板块试</w:t>
                        </w:r>
                        <w:proofErr w:type="gramEnd"/>
                        <w:r>
                          <w:rPr>
                            <w:rFonts w:ascii="微软雅黑" w:eastAsia="微软雅黑" w:hAnsi="微软雅黑" w:hint="eastAsia"/>
                            <w:sz w:val="20"/>
                            <w:szCs w:val="20"/>
                          </w:rPr>
                          <w:t>水轻资产后，万达集团的轻资产野心进一步扩张。日前，万达集团董事长王健林(</w:t>
                        </w:r>
                        <w:proofErr w:type="gramStart"/>
                        <w:r>
                          <w:rPr>
                            <w:rFonts w:ascii="微软雅黑" w:eastAsia="微软雅黑" w:hAnsi="微软雅黑" w:hint="eastAsia"/>
                            <w:sz w:val="20"/>
                            <w:szCs w:val="20"/>
                          </w:rPr>
                          <w:t>博客</w:t>
                        </w:r>
                        <w:proofErr w:type="gramEnd"/>
                        <w:r>
                          <w:rPr>
                            <w:rFonts w:ascii="微软雅黑" w:eastAsia="微软雅黑" w:hAnsi="微软雅黑" w:hint="eastAsia"/>
                            <w:sz w:val="20"/>
                            <w:szCs w:val="20"/>
                          </w:rPr>
                          <w:t>)在深交所演讲时首次披露，未来五年内万达商业地产将去房地产化，转型为一家商业投资服务企业，实现完全轻资产化。分析认为，相比地产开发商，商业投资服务商的新角色更加有利于资金的快周转和业务的迅速扩张，而万达向轻资产迈进的途中，包含支付、理财、</w:t>
                        </w:r>
                        <w:proofErr w:type="gramStart"/>
                        <w:r>
                          <w:rPr>
                            <w:rFonts w:ascii="微软雅黑" w:eastAsia="微软雅黑" w:hAnsi="微软雅黑" w:hint="eastAsia"/>
                            <w:sz w:val="20"/>
                            <w:szCs w:val="20"/>
                          </w:rPr>
                          <w:t>众筹等</w:t>
                        </w:r>
                        <w:proofErr w:type="gramEnd"/>
                        <w:r>
                          <w:rPr>
                            <w:rFonts w:ascii="微软雅黑" w:eastAsia="微软雅黑" w:hAnsi="微软雅黑" w:hint="eastAsia"/>
                            <w:sz w:val="20"/>
                            <w:szCs w:val="20"/>
                          </w:rPr>
                          <w:t>功能的金融集团或将扮演重要角色。 　　五年内完成轻资产 　　万达商业地产引入投资合作方，万达集团年初公布的这一战略被市场人士</w:t>
                        </w:r>
                        <w:proofErr w:type="gramStart"/>
                        <w:r>
                          <w:rPr>
                            <w:rFonts w:ascii="微软雅黑" w:eastAsia="微软雅黑" w:hAnsi="微软雅黑" w:hint="eastAsia"/>
                            <w:sz w:val="20"/>
                            <w:szCs w:val="20"/>
                          </w:rPr>
                          <w:t>看做</w:t>
                        </w:r>
                        <w:proofErr w:type="gramEnd"/>
                        <w:r>
                          <w:rPr>
                            <w:rFonts w:ascii="微软雅黑" w:eastAsia="微软雅黑" w:hAnsi="微软雅黑" w:hint="eastAsia"/>
                            <w:sz w:val="20"/>
                            <w:szCs w:val="20"/>
                          </w:rPr>
                          <w:t>是继O2O之后，重资产的万达向轻资产转身的又一关键战略。按照王健林的介绍，万达集团商业地产未来将向轻资产进一步迈进，其目标是2020年开业400-500个万达广场，这一目标比原来重资产模式时的240-250个广场的数量翻了一番。此外，2020年万达商业地产净利润的2/3要来自租赁收入。 　　具体来说，2016年万达计划开业50个万达广场，其中超过20个是轻资产运营；2017年以后，万达将保持每年至少开业50个万达广场的速度，其中40个以上是轻资产。“万达现在有9000多万平方米的土地储备，其中2000多万平方米规划为万达广场等持有物业，还有7000万平方米的销售物业，我们的目标是五年内把这7000万平方米销售物业消化掉，五年以后万达广场将没有重资产项目了。”王健林如是介绍。 　　实际上，万达商业的轻资产始于今年1月，当时万达与4家合作方签约，拟拿出240亿元用于投资20座万达广场， 万达商业负责建设和管理，合作方负责投资，在轻资产的合作中万达告别了开发商的角色，开始</w:t>
                        </w:r>
                        <w:proofErr w:type="gramStart"/>
                        <w:r>
                          <w:rPr>
                            <w:rFonts w:ascii="微软雅黑" w:eastAsia="微软雅黑" w:hAnsi="微软雅黑" w:hint="eastAsia"/>
                            <w:sz w:val="20"/>
                            <w:szCs w:val="20"/>
                          </w:rPr>
                          <w:t>偿试</w:t>
                        </w:r>
                        <w:proofErr w:type="gramEnd"/>
                        <w:r>
                          <w:rPr>
                            <w:rFonts w:ascii="微软雅黑" w:eastAsia="微软雅黑" w:hAnsi="微软雅黑" w:hint="eastAsia"/>
                            <w:sz w:val="20"/>
                            <w:szCs w:val="20"/>
                          </w:rPr>
                          <w:t>建设者和品牌管理者。 　　金融集团的角色 　　重资产的问题在于，开发商必须依靠大量的自有资金投入支持商用物业，一般的持股占到50%以上，甚至部分达到100%，这不但影响了企业的扩大再生产，更不符合</w:t>
                        </w:r>
                        <w:proofErr w:type="gramStart"/>
                        <w:r>
                          <w:rPr>
                            <w:rFonts w:ascii="微软雅黑" w:eastAsia="微软雅黑" w:hAnsi="微软雅黑" w:hint="eastAsia"/>
                            <w:sz w:val="20"/>
                            <w:szCs w:val="20"/>
                          </w:rPr>
                          <w:t>当下高</w:t>
                        </w:r>
                        <w:proofErr w:type="gramEnd"/>
                        <w:r>
                          <w:rPr>
                            <w:rFonts w:ascii="微软雅黑" w:eastAsia="微软雅黑" w:hAnsi="微软雅黑" w:hint="eastAsia"/>
                            <w:sz w:val="20"/>
                            <w:szCs w:val="20"/>
                          </w:rPr>
                          <w:t>周转、高杠杆的生存原则，这一点在房地产业告别黄金十年，迎来降速的发展周期后尤为明显。 　　如今，万达决定告别重资产，转做轻资产，那么钱又从哪里来？在业内人士看来，被确定为万达集团第五大支柱产业却还未正式露面的金融集团将在万达轻资产化的道路上扮演重要角色。 　　正如王健林所介绍，未来万达的钱将来自以下几个方面：一是外部管道，像基金、保险等机构投资者；二是建立内部融资管道。这里包括万达已经成立的电子商务公司、已收购的快钱支付公司以及这两家都在筹划的全新理财产品。此外，万达还将采用</w:t>
                        </w:r>
                        <w:proofErr w:type="gramStart"/>
                        <w:r>
                          <w:rPr>
                            <w:rFonts w:ascii="微软雅黑" w:eastAsia="微软雅黑" w:hAnsi="微软雅黑" w:hint="eastAsia"/>
                            <w:sz w:val="20"/>
                            <w:szCs w:val="20"/>
                          </w:rPr>
                          <w:t>众筹方式</w:t>
                        </w:r>
                        <w:proofErr w:type="gramEnd"/>
                        <w:r>
                          <w:rPr>
                            <w:rFonts w:ascii="微软雅黑" w:eastAsia="微软雅黑" w:hAnsi="微软雅黑" w:hint="eastAsia"/>
                            <w:sz w:val="20"/>
                            <w:szCs w:val="20"/>
                          </w:rPr>
                          <w:t>为万达轻资产融资。王健林进而表示：“如果万达的理财产品推行成功就能解决轻资产项目的投资，也许就不用依赖外部投资者了。” 　　“王健林所说的这些业务也正符合市场对于万达金融集团业务的猜想，包括投资管理公司、财务公司、资本管理中心，上述所提到的理财产品、众筹等业务也很可能由金融集团来承接，金融集团未来不仅要承担资金使用的最大效率重任，还将成为其商业地产以轻资产的方式迅速扩张的未来金主。”一位</w:t>
                        </w:r>
                        <w:proofErr w:type="gramStart"/>
                        <w:r>
                          <w:rPr>
                            <w:rFonts w:ascii="微软雅黑" w:eastAsia="微软雅黑" w:hAnsi="微软雅黑" w:hint="eastAsia"/>
                            <w:sz w:val="20"/>
                            <w:szCs w:val="20"/>
                          </w:rPr>
                          <w:t>曾操盘商业</w:t>
                        </w:r>
                        <w:proofErr w:type="gramEnd"/>
                        <w:r>
                          <w:rPr>
                            <w:rFonts w:ascii="微软雅黑" w:eastAsia="微软雅黑" w:hAnsi="微软雅黑" w:hint="eastAsia"/>
                            <w:sz w:val="20"/>
                            <w:szCs w:val="20"/>
                          </w:rPr>
                          <w:t xml:space="preserve">地产的业内人士称。 　　</w:t>
                        </w:r>
                        <w:proofErr w:type="gramStart"/>
                        <w:r>
                          <w:rPr>
                            <w:rFonts w:ascii="微软雅黑" w:eastAsia="微软雅黑" w:hAnsi="微软雅黑" w:hint="eastAsia"/>
                            <w:sz w:val="20"/>
                            <w:szCs w:val="20"/>
                          </w:rPr>
                          <w:t>玩资本</w:t>
                        </w:r>
                        <w:proofErr w:type="gramEnd"/>
                        <w:r>
                          <w:rPr>
                            <w:rFonts w:ascii="微软雅黑" w:eastAsia="微软雅黑" w:hAnsi="微软雅黑" w:hint="eastAsia"/>
                            <w:sz w:val="20"/>
                            <w:szCs w:val="20"/>
                          </w:rPr>
                          <w:t xml:space="preserve">还是实业 　　在业内人士看来，规模的追求、利润提升要求以及企业抗风险能力的提升，是万达由单边重资产向轻资产转型的原因，然而在更多分析人士眼中，万达的轻资产战略更是有着出逃实业的意味。王健林也表示，在轻资产运作和靠租金收入赚钱的目标下，将来万达商业股份有限公司可能去掉“地产”二字，变成万达商业投资公司或商业投资管理公司，去房地产化也是实现万达商业地产全面转型的一方面。 　　也有资本市场人士进一步补充，仅仅从概念上而言，万达的轻资产模式将会影响其收入模式和预期，有助于改变资本市场对于万达作为商业地产开发商的企业定位与认知，从而改变对万达模式的预期和估值方式，进而拉升和支持万达的股价；从大方向而言，无论将来如何具体实施，轻资产模式都可以减轻万达下一步发展的预期资金投入，从而降低企业风险。 </w:t>
                        </w:r>
                      </w:p>
                    </w:tc>
                  </w:tr>
                </w:tbl>
                <w:p w:rsidR="00304888" w:rsidRDefault="00304888">
                  <w:pPr>
                    <w:spacing w:line="375" w:lineRule="atLeast"/>
                    <w:rPr>
                      <w:rFonts w:ascii="微软雅黑" w:eastAsia="微软雅黑" w:hAnsi="微软雅黑" w:cs="宋体" w:hint="eastAsia"/>
                      <w:vanish/>
                      <w:sz w:val="20"/>
                      <w:szCs w:val="20"/>
                    </w:rPr>
                  </w:pPr>
                </w:p>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万科剧变：八大事业部再造组织</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proofErr w:type="gramStart"/>
                        <w:r>
                          <w:rPr>
                            <w:rFonts w:ascii="微软雅黑" w:eastAsia="微软雅黑" w:hAnsi="微软雅黑" w:hint="eastAsia"/>
                            <w:sz w:val="20"/>
                            <w:szCs w:val="20"/>
                          </w:rPr>
                          <w:t>和讯网</w:t>
                        </w:r>
                        <w:proofErr w:type="gramEnd"/>
                        <w:r>
                          <w:rPr>
                            <w:rFonts w:ascii="微软雅黑" w:eastAsia="微软雅黑" w:hAnsi="微软雅黑" w:hint="eastAsia"/>
                            <w:sz w:val="20"/>
                            <w:szCs w:val="20"/>
                          </w:rPr>
                          <w:t xml:space="preserve"> 2015-04-20</w:t>
                        </w:r>
                        <w:r>
                          <w:rPr>
                            <w:rFonts w:ascii="微软雅黑" w:eastAsia="微软雅黑" w:hAnsi="微软雅黑" w:hint="eastAsia"/>
                            <w:sz w:val="20"/>
                            <w:szCs w:val="20"/>
                          </w:rPr>
                          <w:br/>
                          <w:t>“约法”的草案将在夏季例会前正式提出，围绕“约法”，</w:t>
                        </w:r>
                        <w:proofErr w:type="gramStart"/>
                        <w:r>
                          <w:rPr>
                            <w:rFonts w:ascii="微软雅黑" w:eastAsia="微软雅黑" w:hAnsi="微软雅黑" w:hint="eastAsia"/>
                            <w:sz w:val="20"/>
                            <w:szCs w:val="20"/>
                          </w:rPr>
                          <w:t>万科高管</w:t>
                        </w:r>
                        <w:proofErr w:type="gramEnd"/>
                        <w:r>
                          <w:rPr>
                            <w:rFonts w:ascii="微软雅黑" w:eastAsia="微软雅黑" w:hAnsi="微软雅黑" w:hint="eastAsia"/>
                            <w:sz w:val="20"/>
                            <w:szCs w:val="20"/>
                          </w:rPr>
                          <w:t>将在夏季例会上围绕“约法”就万科进行事业部尝试和探索的方式、方法和路径进行探讨，并形成基本共识。至于商业地产是否最终能够挤入事业部中占有一席之地，实际上取决于万</w:t>
                        </w:r>
                        <w:proofErr w:type="gramStart"/>
                        <w:r>
                          <w:rPr>
                            <w:rFonts w:ascii="微软雅黑" w:eastAsia="微软雅黑" w:hAnsi="微软雅黑" w:hint="eastAsia"/>
                            <w:sz w:val="20"/>
                            <w:szCs w:val="20"/>
                          </w:rPr>
                          <w:t>科对于</w:t>
                        </w:r>
                        <w:proofErr w:type="gramEnd"/>
                        <w:r>
                          <w:rPr>
                            <w:rFonts w:ascii="微软雅黑" w:eastAsia="微软雅黑" w:hAnsi="微软雅黑" w:hint="eastAsia"/>
                            <w:sz w:val="20"/>
                            <w:szCs w:val="20"/>
                          </w:rPr>
                          <w:t xml:space="preserve">现有商业地产业务运营模式的选择。 </w:t>
                        </w:r>
                      </w:p>
                    </w:tc>
                  </w:tr>
                </w:tbl>
                <w:p w:rsidR="00304888" w:rsidRDefault="00304888">
                  <w:pPr>
                    <w:rPr>
                      <w:rFonts w:ascii="Times New Roman" w:eastAsia="宋体" w:hAnsi="Times New Roman" w:cs="Times New Roman"/>
                      <w:sz w:val="20"/>
                      <w:szCs w:val="20"/>
                    </w:rPr>
                  </w:pP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3E6F4955" wp14:editId="4E5D0E88">
                        <wp:extent cx="5829300" cy="838200"/>
                        <wp:effectExtent l="0" t="0" r="0" b="0"/>
                        <wp:docPr id="51" name="图片 51" descr="http://www.starhousechina.com/M/img/工商快报/前线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arhousechina.com/M/img/工商快报/前线快报.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38200"/>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63034A46" wp14:editId="10455B97">
                        <wp:extent cx="4762500" cy="4219575"/>
                        <wp:effectExtent l="0" t="0" r="0" b="9525"/>
                        <wp:docPr id="50" name="图片 50" descr="http://www.starhousechina.com/M/aspnet_client/工商快报/北京办公20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arhousechina.com/M/aspnet_client/工商快报/北京办公201504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21957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4FD76282" wp14:editId="14EAE6FA">
                        <wp:extent cx="4762500" cy="3810000"/>
                        <wp:effectExtent l="0" t="0" r="0" b="0"/>
                        <wp:docPr id="49" name="图片 49" descr="http://www.starhousechina.com/M/aspnet_client/工商快报/北京商业20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arhousechina.com/M/aspnet_client/工商快报/北京商业201504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2015年3月北京新房办公成交TOP5</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12ABBED1" wp14:editId="61C42207">
                        <wp:extent cx="5753100" cy="1076325"/>
                        <wp:effectExtent l="0" t="0" r="0" b="9525"/>
                        <wp:docPr id="48" name="图片 48" descr="http://www.starhousechina.com/M/aspnet_client/工商快报/办公20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arhousechina.com/M/aspnet_client/工商快报/办公201504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07632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2015年3月北京新房商业成交TOP5</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3C5A5909" wp14:editId="711676B9">
                        <wp:extent cx="5753100" cy="1076325"/>
                        <wp:effectExtent l="0" t="0" r="0" b="9525"/>
                        <wp:docPr id="47" name="图片 47" descr="http://www.starhousechina.com/M/aspnet_client/工商快报/商业20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arhousechina.com/M/aspnet_client/工商快报/商业201504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07632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05D589DA" wp14:editId="6C162039">
                        <wp:extent cx="5848350" cy="866775"/>
                        <wp:effectExtent l="0" t="0" r="0" b="9525"/>
                        <wp:docPr id="46" name="图片 46" descr="http://www.starhousechina.com/M/img/工商快报/品牌商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tarhousechina.com/M/img/工商快报/品牌商家.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86677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 xml:space="preserve">“来福士”前景 </w:t>
                        </w:r>
                        <w:proofErr w:type="gramStart"/>
                        <w:r>
                          <w:rPr>
                            <w:rFonts w:ascii="微软雅黑" w:eastAsia="微软雅黑" w:hAnsi="微软雅黑" w:hint="eastAsia"/>
                            <w:b/>
                            <w:bCs/>
                            <w:color w:val="800000"/>
                            <w:szCs w:val="21"/>
                          </w:rPr>
                          <w:t>凯</w:t>
                        </w:r>
                        <w:proofErr w:type="gramEnd"/>
                        <w:r>
                          <w:rPr>
                            <w:rFonts w:ascii="微软雅黑" w:eastAsia="微软雅黑" w:hAnsi="微软雅黑" w:hint="eastAsia"/>
                            <w:b/>
                            <w:bCs/>
                            <w:color w:val="800000"/>
                            <w:szCs w:val="21"/>
                          </w:rPr>
                          <w:t>德四大综合体能否抵御购物中心黄昏？</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2015-04-09</w:t>
                        </w:r>
                        <w:r>
                          <w:rPr>
                            <w:rFonts w:ascii="微软雅黑" w:eastAsia="微软雅黑" w:hAnsi="微软雅黑" w:hint="eastAsia"/>
                            <w:sz w:val="20"/>
                            <w:szCs w:val="20"/>
                          </w:rPr>
                          <w:br/>
                        </w:r>
                        <w:proofErr w:type="gramStart"/>
                        <w:r>
                          <w:rPr>
                            <w:rFonts w:ascii="微软雅黑" w:eastAsia="微软雅黑" w:hAnsi="微软雅黑" w:hint="eastAsia"/>
                            <w:sz w:val="20"/>
                            <w:szCs w:val="20"/>
                          </w:rPr>
                          <w:t>凯德未来</w:t>
                        </w:r>
                        <w:proofErr w:type="gramEnd"/>
                        <w:r>
                          <w:rPr>
                            <w:rFonts w:ascii="微软雅黑" w:eastAsia="微软雅黑" w:hAnsi="微软雅黑" w:hint="eastAsia"/>
                            <w:sz w:val="20"/>
                            <w:szCs w:val="20"/>
                          </w:rPr>
                          <w:t xml:space="preserve">综合体战略扩张势必也将承受更高的开发成本，这对其后期的营运提出了更高的要求。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Zara创始人斥4亿英镑年内三度购伦敦物业</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2015-04-14</w:t>
                        </w:r>
                        <w:r>
                          <w:rPr>
                            <w:rFonts w:ascii="微软雅黑" w:eastAsia="微软雅黑" w:hAnsi="微软雅黑" w:hint="eastAsia"/>
                            <w:sz w:val="20"/>
                            <w:szCs w:val="20"/>
                          </w:rPr>
                          <w:br/>
                          <w:t>创始人</w:t>
                        </w:r>
                        <w:proofErr w:type="spellStart"/>
                        <w:r>
                          <w:rPr>
                            <w:rFonts w:ascii="微软雅黑" w:eastAsia="微软雅黑" w:hAnsi="微软雅黑" w:hint="eastAsia"/>
                            <w:sz w:val="20"/>
                            <w:szCs w:val="20"/>
                          </w:rPr>
                          <w:t>Amancio</w:t>
                        </w:r>
                        <w:proofErr w:type="spellEnd"/>
                        <w:r>
                          <w:rPr>
                            <w:rFonts w:ascii="微软雅黑" w:eastAsia="微软雅黑" w:hAnsi="微软雅黑" w:hint="eastAsia"/>
                            <w:sz w:val="20"/>
                            <w:szCs w:val="20"/>
                          </w:rPr>
                          <w:t xml:space="preserve"> Ortega已经通过其控股的投资公司Ponte </w:t>
                        </w:r>
                        <w:proofErr w:type="spellStart"/>
                        <w:r>
                          <w:rPr>
                            <w:rFonts w:ascii="微软雅黑" w:eastAsia="微软雅黑" w:hAnsi="微软雅黑" w:hint="eastAsia"/>
                            <w:sz w:val="20"/>
                            <w:szCs w:val="20"/>
                          </w:rPr>
                          <w:t>Gadea</w:t>
                        </w:r>
                        <w:proofErr w:type="spellEnd"/>
                        <w:r>
                          <w:rPr>
                            <w:rFonts w:ascii="微软雅黑" w:eastAsia="微软雅黑" w:hAnsi="微软雅黑" w:hint="eastAsia"/>
                            <w:sz w:val="20"/>
                            <w:szCs w:val="20"/>
                          </w:rPr>
                          <w:t xml:space="preserve"> SL斥资超过4亿英镑现金收购伦敦牛津街东段26-48号的物业。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毛大庆首个“优客工场”落地北京阳光100</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2015-04-17</w:t>
                        </w:r>
                        <w:r>
                          <w:rPr>
                            <w:rFonts w:ascii="微软雅黑" w:eastAsia="微软雅黑" w:hAnsi="微软雅黑" w:hint="eastAsia"/>
                            <w:sz w:val="20"/>
                            <w:szCs w:val="20"/>
                          </w:rPr>
                          <w:br/>
                          <w:t xml:space="preserve">4月17日上午，毛大庆此前一直在预热的“优客工场”创业计划正式公开其天使投资人与联合创始人团队，并公布了优客工场在一个多月时间内已经完成在北京的10处选址。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小商品城将依托“义乌购”生态圈</w:t>
                        </w:r>
                        <w:proofErr w:type="gramStart"/>
                        <w:r>
                          <w:rPr>
                            <w:rFonts w:ascii="微软雅黑" w:eastAsia="微软雅黑" w:hAnsi="微软雅黑" w:hint="eastAsia"/>
                            <w:b/>
                            <w:bCs/>
                            <w:color w:val="800000"/>
                            <w:szCs w:val="21"/>
                          </w:rPr>
                          <w:t>搭建云</w:t>
                        </w:r>
                        <w:proofErr w:type="gramEnd"/>
                        <w:r>
                          <w:rPr>
                            <w:rFonts w:ascii="微软雅黑" w:eastAsia="微软雅黑" w:hAnsi="微软雅黑" w:hint="eastAsia"/>
                            <w:b/>
                            <w:bCs/>
                            <w:color w:val="800000"/>
                            <w:szCs w:val="21"/>
                          </w:rPr>
                          <w:t>平台</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2015-04-21</w:t>
                        </w:r>
                        <w:r>
                          <w:rPr>
                            <w:rFonts w:ascii="微软雅黑" w:eastAsia="微软雅黑" w:hAnsi="微软雅黑" w:hint="eastAsia"/>
                            <w:sz w:val="20"/>
                            <w:szCs w:val="20"/>
                          </w:rPr>
                          <w:br/>
                          <w:t xml:space="preserve">公司根据流量、客单价等方面，结合经营户访谈，得出一个10倍的乘数，这其实是一个相对保守的数据。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中</w:t>
                        </w:r>
                        <w:proofErr w:type="gramStart"/>
                        <w:r>
                          <w:rPr>
                            <w:rFonts w:ascii="微软雅黑" w:eastAsia="微软雅黑" w:hAnsi="微软雅黑" w:hint="eastAsia"/>
                            <w:b/>
                            <w:bCs/>
                            <w:color w:val="800000"/>
                            <w:szCs w:val="21"/>
                          </w:rPr>
                          <w:t>信放弃</w:t>
                        </w:r>
                        <w:proofErr w:type="gramEnd"/>
                        <w:r>
                          <w:rPr>
                            <w:rFonts w:ascii="微软雅黑" w:eastAsia="微软雅黑" w:hAnsi="微软雅黑" w:hint="eastAsia"/>
                            <w:b/>
                            <w:bCs/>
                            <w:color w:val="800000"/>
                            <w:szCs w:val="21"/>
                          </w:rPr>
                          <w:t>运营后 鸟巢或将变身“写字楼”</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2015-04-20</w:t>
                        </w:r>
                        <w:r>
                          <w:rPr>
                            <w:rFonts w:ascii="微软雅黑" w:eastAsia="微软雅黑" w:hAnsi="微软雅黑" w:hint="eastAsia"/>
                            <w:sz w:val="20"/>
                            <w:szCs w:val="20"/>
                          </w:rPr>
                          <w:br/>
                          <w:t xml:space="preserve">中信集团、北京城建和美国金州控股共同组成的中信联合体放弃了自己30年的特许经营权。 </w:t>
                        </w:r>
                      </w:p>
                    </w:tc>
                  </w:tr>
                </w:tbl>
                <w:p w:rsidR="00304888" w:rsidRDefault="00304888">
                  <w:pPr>
                    <w:rPr>
                      <w:rFonts w:ascii="Times New Roman" w:eastAsia="宋体" w:hAnsi="Times New Roman" w:cs="Times New Roman"/>
                      <w:sz w:val="20"/>
                      <w:szCs w:val="20"/>
                    </w:rPr>
                  </w:pP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深圳写字楼</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27DF151B" wp14:editId="343983F4">
                        <wp:extent cx="5819775" cy="4200525"/>
                        <wp:effectExtent l="0" t="0" r="9525" b="9525"/>
                        <wp:docPr id="45" name="图片 45" descr="http://www.starhousechina.com/M/aspnet_client/工商快报/深圳写字楼20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tarhousechina.com/M/aspnet_client/工商快报/深圳写字楼201504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4200525"/>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noProof/>
                      <w:sz w:val="20"/>
                      <w:szCs w:val="20"/>
                    </w:rPr>
                    <w:drawing>
                      <wp:inline distT="0" distB="0" distL="0" distR="0" wp14:anchorId="1D87E4A2" wp14:editId="015AEF26">
                        <wp:extent cx="5857875" cy="800100"/>
                        <wp:effectExtent l="0" t="0" r="9525" b="0"/>
                        <wp:docPr id="44" name="图片 44" descr="http://www.starhousechina.com/M/img/工商快报/境外关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tarhousechina.com/M/img/工商快报/境外关注.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800100"/>
                                </a:xfrm>
                                <a:prstGeom prst="rect">
                                  <a:avLst/>
                                </a:prstGeom>
                                <a:noFill/>
                                <a:ln>
                                  <a:noFill/>
                                </a:ln>
                              </pic:spPr>
                            </pic:pic>
                          </a:graphicData>
                        </a:graphic>
                      </wp:inline>
                    </w:drawing>
                  </w:r>
                </w:p>
              </w:tc>
            </w:tr>
            <w:tr w:rsidR="00304888">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360"/>
                  </w:tblGrid>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纽约房地产市场依然最具吸引力</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新浪地产 2015-04-14</w:t>
                        </w:r>
                        <w:r>
                          <w:rPr>
                            <w:rFonts w:ascii="微软雅黑" w:eastAsia="微软雅黑" w:hAnsi="微软雅黑" w:hint="eastAsia"/>
                            <w:sz w:val="20"/>
                            <w:szCs w:val="20"/>
                          </w:rPr>
                          <w:br/>
                          <w:t xml:space="preserve">2015年前两个月的纽约，经历了一场有史以来最低的气温和无穷无尽的暴风雪。洛杉矶虽然拥有电影之都好莱坞，可相比较之下，纽约的经济组织机构更多样化，人气也更强。在纽约这个竞争强烈的市场里，发展商光是装修设备用一流的品牌是远远不够的。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全球商业物业市场预测发布 香港写字楼价格居首</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安家 2015-04-17</w:t>
                        </w:r>
                        <w:r>
                          <w:rPr>
                            <w:rFonts w:ascii="微软雅黑" w:eastAsia="微软雅黑" w:hAnsi="微软雅黑" w:hint="eastAsia"/>
                            <w:sz w:val="20"/>
                            <w:szCs w:val="20"/>
                          </w:rPr>
                          <w:br/>
                          <w:t>在近日</w:t>
                        </w:r>
                        <w:proofErr w:type="gramStart"/>
                        <w:r>
                          <w:rPr>
                            <w:rFonts w:ascii="微软雅黑" w:eastAsia="微软雅黑" w:hAnsi="微软雅黑" w:hint="eastAsia"/>
                            <w:sz w:val="20"/>
                            <w:szCs w:val="20"/>
                          </w:rPr>
                          <w:t>莱坊发布</w:t>
                        </w:r>
                        <w:proofErr w:type="gramEnd"/>
                        <w:r>
                          <w:rPr>
                            <w:rFonts w:ascii="微软雅黑" w:eastAsia="微软雅黑" w:hAnsi="微软雅黑" w:hint="eastAsia"/>
                            <w:sz w:val="20"/>
                            <w:szCs w:val="20"/>
                          </w:rPr>
                          <w:t xml:space="preserve">的2015年第一季度《全球资本市场报告》中，香港写字楼的价格高出报告涵盖的其他31个全球城市优质商业物业的两倍。 </w:t>
                        </w:r>
                        <w:r>
                          <w:rPr>
                            <w:rFonts w:ascii="微软雅黑" w:eastAsia="微软雅黑" w:hAnsi="微软雅黑" w:hint="eastAsia"/>
                            <w:sz w:val="20"/>
                            <w:szCs w:val="20"/>
                          </w:rPr>
                          <w:t> </w:t>
                        </w:r>
                        <w:r>
                          <w:rPr>
                            <w:rFonts w:ascii="微软雅黑" w:eastAsia="微软雅黑" w:hAnsi="微软雅黑" w:hint="eastAsia"/>
                            <w:sz w:val="20"/>
                            <w:szCs w:val="20"/>
                          </w:rPr>
                          <w:t> </w:t>
                        </w:r>
                        <w:r>
                          <w:rPr>
                            <w:rFonts w:ascii="微软雅黑" w:eastAsia="微软雅黑" w:hAnsi="微软雅黑" w:hint="eastAsia"/>
                            <w:sz w:val="20"/>
                            <w:szCs w:val="20"/>
                          </w:rPr>
                          <w:t>在2015年的全球商业物业市场预测中，</w:t>
                        </w:r>
                        <w:proofErr w:type="gramStart"/>
                        <w:r>
                          <w:rPr>
                            <w:rFonts w:ascii="微软雅黑" w:eastAsia="微软雅黑" w:hAnsi="微软雅黑" w:hint="eastAsia"/>
                            <w:sz w:val="20"/>
                            <w:szCs w:val="20"/>
                          </w:rPr>
                          <w:t>莱坊分析</w:t>
                        </w:r>
                        <w:proofErr w:type="gramEnd"/>
                        <w:r>
                          <w:rPr>
                            <w:rFonts w:ascii="微软雅黑" w:eastAsia="微软雅黑" w:hAnsi="微软雅黑" w:hint="eastAsia"/>
                            <w:sz w:val="20"/>
                            <w:szCs w:val="20"/>
                          </w:rPr>
                          <w:t xml:space="preserve">了32个城市的优质写字楼资本价格，结果显示香港的优质写字楼价格最高，以每平方米70,000美元居首位，比排名第二的新加坡（每平方米28,340美元）高出2.5倍，并高出伦敦优质写字楼价格三倍。 </w:t>
                        </w:r>
                        <w:r>
                          <w:rPr>
                            <w:rFonts w:ascii="微软雅黑" w:eastAsia="微软雅黑" w:hAnsi="微软雅黑" w:hint="eastAsia"/>
                            <w:sz w:val="20"/>
                            <w:szCs w:val="20"/>
                          </w:rPr>
                          <w:t> </w:t>
                        </w:r>
                        <w:r>
                          <w:rPr>
                            <w:rFonts w:ascii="微软雅黑" w:eastAsia="微软雅黑" w:hAnsi="微软雅黑" w:hint="eastAsia"/>
                            <w:sz w:val="20"/>
                            <w:szCs w:val="20"/>
                          </w:rPr>
                          <w:t> </w:t>
                        </w:r>
                        <w:proofErr w:type="gramStart"/>
                        <w:r>
                          <w:rPr>
                            <w:rFonts w:ascii="微软雅黑" w:eastAsia="微软雅黑" w:hAnsi="微软雅黑" w:hint="eastAsia"/>
                            <w:sz w:val="20"/>
                            <w:szCs w:val="20"/>
                          </w:rPr>
                          <w:t>莱坊全球</w:t>
                        </w:r>
                        <w:proofErr w:type="gramEnd"/>
                        <w:r>
                          <w:rPr>
                            <w:rFonts w:ascii="微软雅黑" w:eastAsia="微软雅黑" w:hAnsi="微软雅黑" w:hint="eastAsia"/>
                            <w:sz w:val="20"/>
                            <w:szCs w:val="20"/>
                          </w:rPr>
                          <w:t>资本市场</w:t>
                        </w:r>
                        <w:proofErr w:type="gramStart"/>
                        <w:r>
                          <w:rPr>
                            <w:rFonts w:ascii="微软雅黑" w:eastAsia="微软雅黑" w:hAnsi="微软雅黑" w:hint="eastAsia"/>
                            <w:sz w:val="20"/>
                            <w:szCs w:val="20"/>
                          </w:rPr>
                          <w:t>硏究部主管</w:t>
                        </w:r>
                        <w:proofErr w:type="gramEnd"/>
                        <w:r>
                          <w:rPr>
                            <w:rFonts w:ascii="微软雅黑" w:eastAsia="微软雅黑" w:hAnsi="微软雅黑" w:hint="eastAsia"/>
                            <w:sz w:val="20"/>
                            <w:szCs w:val="20"/>
                          </w:rPr>
                          <w:t xml:space="preserve">Darren Yates指出：“土地供应和土地价格仍为推动租金和楼价上涨的其本因素，其中该因素对香港和新加坡的影响最为显著。这些地方土地供应有限，人口密集并且有大量有能力支付高昂租金的跨国企业。” </w:t>
                        </w:r>
                        <w:r>
                          <w:rPr>
                            <w:rFonts w:ascii="微软雅黑" w:eastAsia="微软雅黑" w:hAnsi="微软雅黑" w:hint="eastAsia"/>
                            <w:sz w:val="20"/>
                            <w:szCs w:val="20"/>
                          </w:rPr>
                          <w:t> </w:t>
                        </w:r>
                        <w:r>
                          <w:rPr>
                            <w:rFonts w:ascii="微软雅黑" w:eastAsia="微软雅黑" w:hAnsi="微软雅黑" w:hint="eastAsia"/>
                            <w:sz w:val="20"/>
                            <w:szCs w:val="20"/>
                          </w:rPr>
                          <w:t> </w:t>
                        </w:r>
                        <w:r>
                          <w:rPr>
                            <w:rFonts w:ascii="微软雅黑" w:eastAsia="微软雅黑" w:hAnsi="微软雅黑" w:hint="eastAsia"/>
                            <w:sz w:val="20"/>
                            <w:szCs w:val="20"/>
                          </w:rPr>
                          <w:t>近期资本价值增长强劲</w:t>
                        </w:r>
                        <w:proofErr w:type="gramStart"/>
                        <w:r>
                          <w:rPr>
                            <w:rFonts w:ascii="微软雅黑" w:eastAsia="微软雅黑" w:hAnsi="微软雅黑" w:hint="eastAsia"/>
                            <w:sz w:val="20"/>
                            <w:szCs w:val="20"/>
                          </w:rPr>
                          <w:t>且全球</w:t>
                        </w:r>
                        <w:proofErr w:type="gramEnd"/>
                        <w:r>
                          <w:rPr>
                            <w:rFonts w:ascii="微软雅黑" w:eastAsia="微软雅黑" w:hAnsi="微软雅黑" w:hint="eastAsia"/>
                            <w:sz w:val="20"/>
                            <w:szCs w:val="20"/>
                          </w:rPr>
                          <w:t>经济复苏仍不稳定，投资者正寻求外投机会以期获得更高的回报并分散本地市场的风险，</w:t>
                        </w:r>
                        <w:proofErr w:type="gramStart"/>
                        <w:r>
                          <w:rPr>
                            <w:rFonts w:ascii="微软雅黑" w:eastAsia="微软雅黑" w:hAnsi="微软雅黑" w:hint="eastAsia"/>
                            <w:sz w:val="20"/>
                            <w:szCs w:val="20"/>
                          </w:rPr>
                          <w:t>莱</w:t>
                        </w:r>
                        <w:proofErr w:type="gramEnd"/>
                        <w:r>
                          <w:rPr>
                            <w:rFonts w:ascii="微软雅黑" w:eastAsia="微软雅黑" w:hAnsi="微软雅黑" w:hint="eastAsia"/>
                            <w:sz w:val="20"/>
                            <w:szCs w:val="20"/>
                          </w:rPr>
                          <w:t xml:space="preserve">坊预计今年跨境投资将进一步增加。 </w:t>
                        </w:r>
                        <w:r>
                          <w:rPr>
                            <w:rFonts w:ascii="微软雅黑" w:eastAsia="微软雅黑" w:hAnsi="微软雅黑" w:hint="eastAsia"/>
                            <w:sz w:val="20"/>
                            <w:szCs w:val="20"/>
                          </w:rPr>
                          <w:t> </w:t>
                        </w:r>
                        <w:r>
                          <w:rPr>
                            <w:rFonts w:ascii="微软雅黑" w:eastAsia="微软雅黑" w:hAnsi="微软雅黑" w:hint="eastAsia"/>
                            <w:sz w:val="20"/>
                            <w:szCs w:val="20"/>
                          </w:rPr>
                          <w:t> </w:t>
                        </w:r>
                        <w:r>
                          <w:rPr>
                            <w:rFonts w:ascii="微软雅黑" w:eastAsia="微软雅黑" w:hAnsi="微软雅黑" w:hint="eastAsia"/>
                            <w:sz w:val="20"/>
                            <w:szCs w:val="20"/>
                          </w:rPr>
                          <w:t xml:space="preserve">预计2015年全球商业投资总额将上升10%以上，达到7000亿美元。房地产资本市场已经越来越活跃，并逐渐与其他行业的发展脱轨，这反映出全球经济复苏仍不稳定。投资者重视市场的透明度和流动性，因此伦敦、巴黎和纽约等门户城市都受到众多投资者青睐。而二、三线城市由于供应相对不紧俏且投资回报潜力较高，其投资需求亦不断上升。 </w:t>
                        </w:r>
                        <w:r>
                          <w:rPr>
                            <w:rFonts w:ascii="微软雅黑" w:eastAsia="微软雅黑" w:hAnsi="微软雅黑" w:hint="eastAsia"/>
                            <w:sz w:val="20"/>
                            <w:szCs w:val="20"/>
                          </w:rPr>
                          <w:t> </w:t>
                        </w:r>
                        <w:r>
                          <w:rPr>
                            <w:rFonts w:ascii="微软雅黑" w:eastAsia="微软雅黑" w:hAnsi="微软雅黑" w:hint="eastAsia"/>
                            <w:sz w:val="20"/>
                            <w:szCs w:val="20"/>
                          </w:rPr>
                          <w:t> </w:t>
                        </w:r>
                        <w:proofErr w:type="gramStart"/>
                        <w:r>
                          <w:rPr>
                            <w:rFonts w:ascii="微软雅黑" w:eastAsia="微软雅黑" w:hAnsi="微软雅黑" w:hint="eastAsia"/>
                            <w:sz w:val="20"/>
                            <w:szCs w:val="20"/>
                          </w:rPr>
                          <w:t>莱</w:t>
                        </w:r>
                        <w:proofErr w:type="gramEnd"/>
                        <w:r>
                          <w:rPr>
                            <w:rFonts w:ascii="微软雅黑" w:eastAsia="微软雅黑" w:hAnsi="微软雅黑" w:hint="eastAsia"/>
                            <w:sz w:val="20"/>
                            <w:szCs w:val="20"/>
                          </w:rPr>
                          <w:t>坊亚太</w:t>
                        </w:r>
                        <w:proofErr w:type="gramStart"/>
                        <w:r>
                          <w:rPr>
                            <w:rFonts w:ascii="微软雅黑" w:eastAsia="微软雅黑" w:hAnsi="微软雅黑" w:hint="eastAsia"/>
                            <w:sz w:val="20"/>
                            <w:szCs w:val="20"/>
                          </w:rPr>
                          <w:t>区研究</w:t>
                        </w:r>
                        <w:proofErr w:type="gramEnd"/>
                        <w:r>
                          <w:rPr>
                            <w:rFonts w:ascii="微软雅黑" w:eastAsia="微软雅黑" w:hAnsi="微软雅黑" w:hint="eastAsia"/>
                            <w:sz w:val="20"/>
                            <w:szCs w:val="20"/>
                          </w:rPr>
                          <w:t xml:space="preserve">部主管Nicholas Holt表示：“由于亚太区内投资产品供应紧俏，大量资本正寻求投资的机会，因此我们预计今年亚太区内的投资总额将上升。相信日本和澳大利亚将最受投资者青睐，其次为中国内地、韩国、香港和新加坡。由于多个市场的优质投资产品的价格都非常高，相信投资者会将目光将转向二线城市和回报高的地区。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亚太写字楼投资吸引力出现分化</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国际商报 2015-04-21</w:t>
                        </w:r>
                        <w:r>
                          <w:rPr>
                            <w:rFonts w:ascii="微软雅黑" w:eastAsia="微软雅黑" w:hAnsi="微软雅黑" w:hint="eastAsia"/>
                            <w:sz w:val="20"/>
                            <w:szCs w:val="20"/>
                          </w:rPr>
                          <w:br/>
                          <w:t xml:space="preserve">房地产服务商第一太平戴维斯发布的《世界写字楼收益率纵览》显示，亚太区部分市场间的资本化率相差较大。东京、大阪、悉尼和墨尔本等城市继续吸引着可观的投资需求；中国则因为收益率严重压缩、许多板块存在过度建设、经济增长低于预期等问题，投资吸引力明显减弱。 </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rPr>
                            <w:rFonts w:ascii="微软雅黑" w:eastAsia="微软雅黑" w:hAnsi="微软雅黑" w:cs="宋体"/>
                            <w:b/>
                            <w:bCs/>
                            <w:color w:val="800000"/>
                            <w:szCs w:val="21"/>
                          </w:rPr>
                        </w:pPr>
                        <w:r>
                          <w:rPr>
                            <w:rFonts w:ascii="微软雅黑" w:eastAsia="微软雅黑" w:hAnsi="微软雅黑" w:hint="eastAsia"/>
                            <w:b/>
                            <w:bCs/>
                            <w:color w:val="800000"/>
                            <w:szCs w:val="21"/>
                          </w:rPr>
                          <w:t>英国伦敦房价上涨今年或将“急刹车”</w:t>
                        </w:r>
                      </w:p>
                    </w:tc>
                  </w:tr>
                  <w:tr w:rsidR="00304888">
                    <w:trPr>
                      <w:tblCellSpacing w:w="15" w:type="dxa"/>
                    </w:trPr>
                    <w:tc>
                      <w:tcPr>
                        <w:tcW w:w="0" w:type="auto"/>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proofErr w:type="gramStart"/>
                        <w:r>
                          <w:rPr>
                            <w:rFonts w:ascii="微软雅黑" w:eastAsia="微软雅黑" w:hAnsi="微软雅黑" w:hint="eastAsia"/>
                            <w:sz w:val="20"/>
                            <w:szCs w:val="20"/>
                          </w:rPr>
                          <w:t>腾讯财经</w:t>
                        </w:r>
                        <w:proofErr w:type="gramEnd"/>
                        <w:r>
                          <w:rPr>
                            <w:rFonts w:ascii="微软雅黑" w:eastAsia="微软雅黑" w:hAnsi="微软雅黑" w:hint="eastAsia"/>
                            <w:sz w:val="20"/>
                            <w:szCs w:val="20"/>
                          </w:rPr>
                          <w:t xml:space="preserve"> 2015-04-14</w:t>
                        </w:r>
                        <w:r>
                          <w:rPr>
                            <w:rFonts w:ascii="微软雅黑" w:eastAsia="微软雅黑" w:hAnsi="微软雅黑" w:hint="eastAsia"/>
                            <w:sz w:val="20"/>
                            <w:szCs w:val="20"/>
                          </w:rPr>
                          <w:br/>
                          <w:t xml:space="preserve">英国经济和商业研究中心却发出警示说，经过多年“强劲表现”后，2015年伦敦房地产价格将会下降3.6%。 </w:t>
                        </w:r>
                      </w:p>
                    </w:tc>
                  </w:tr>
                </w:tbl>
                <w:p w:rsidR="00304888" w:rsidRDefault="00304888">
                  <w:pPr>
                    <w:rPr>
                      <w:rFonts w:ascii="Times New Roman" w:eastAsia="宋体" w:hAnsi="Times New Roman" w:cs="Times New Roman"/>
                      <w:sz w:val="20"/>
                      <w:szCs w:val="20"/>
                    </w:rPr>
                  </w:pPr>
                </w:p>
              </w:tc>
            </w:tr>
          </w:tbl>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shd w:val="clear" w:color="auto" w:fill="F2EDE9"/>
            <w:tcMar>
              <w:top w:w="15" w:type="dxa"/>
              <w:left w:w="300" w:type="dxa"/>
              <w:bottom w:w="15" w:type="dxa"/>
              <w:right w:w="15" w:type="dxa"/>
            </w:tcMar>
            <w:hideMark/>
          </w:tcPr>
          <w:tbl>
            <w:tblPr>
              <w:tblW w:w="0" w:type="auto"/>
              <w:tblCellSpacing w:w="15" w:type="dxa"/>
              <w:tblLook w:val="04A0" w:firstRow="1" w:lastRow="0" w:firstColumn="1" w:lastColumn="0" w:noHBand="0" w:noVBand="1"/>
            </w:tblPr>
            <w:tblGrid>
              <w:gridCol w:w="5205"/>
            </w:tblGrid>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1895458C" wp14:editId="3199BCF1">
                        <wp:extent cx="2381250" cy="895350"/>
                        <wp:effectExtent l="0" t="0" r="0" b="0"/>
                        <wp:docPr id="43" name="图片 43" descr="http://www.starhousechina.com/M/img/工商快报/关于华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tarhousechina.com/M/img/工商快报/关于华房.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895350"/>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技术有限公司前身为</w:t>
                  </w:r>
                  <w:proofErr w:type="gramStart"/>
                  <w:r>
                    <w:rPr>
                      <w:rFonts w:ascii="微软雅黑" w:eastAsia="微软雅黑" w:hAnsi="微软雅黑" w:hint="eastAsia"/>
                      <w:sz w:val="18"/>
                      <w:szCs w:val="18"/>
                    </w:rPr>
                    <w:t>世联数据</w:t>
                  </w:r>
                  <w:proofErr w:type="gramEnd"/>
                  <w:r>
                    <w:rPr>
                      <w:rFonts w:ascii="微软雅黑" w:eastAsia="微软雅黑" w:hAnsi="微软雅黑" w:hint="eastAsia"/>
                      <w:sz w:val="18"/>
                      <w:szCs w:val="18"/>
                    </w:rPr>
                    <w:t>事业部，1999年成立于深圳，2007年注册专业数据公司，现为</w:t>
                  </w:r>
                  <w:proofErr w:type="gramStart"/>
                  <w:r>
                    <w:rPr>
                      <w:rFonts w:ascii="微软雅黑" w:eastAsia="微软雅黑" w:hAnsi="微软雅黑" w:hint="eastAsia"/>
                      <w:sz w:val="18"/>
                      <w:szCs w:val="18"/>
                    </w:rPr>
                    <w:t>世</w:t>
                  </w:r>
                  <w:proofErr w:type="gramEnd"/>
                  <w:r>
                    <w:rPr>
                      <w:rFonts w:ascii="微软雅黑" w:eastAsia="微软雅黑" w:hAnsi="微软雅黑" w:hint="eastAsia"/>
                      <w:sz w:val="18"/>
                      <w:szCs w:val="18"/>
                    </w:rPr>
                    <w:t>联旗下唯一数据品牌，也是</w:t>
                  </w:r>
                  <w:proofErr w:type="gramStart"/>
                  <w:r>
                    <w:rPr>
                      <w:rFonts w:ascii="微软雅黑" w:eastAsia="微软雅黑" w:hAnsi="微软雅黑" w:hint="eastAsia"/>
                      <w:sz w:val="18"/>
                      <w:szCs w:val="18"/>
                    </w:rPr>
                    <w:t>世</w:t>
                  </w:r>
                  <w:proofErr w:type="gramEnd"/>
                  <w:r>
                    <w:rPr>
                      <w:rFonts w:ascii="微软雅黑" w:eastAsia="微软雅黑" w:hAnsi="微软雅黑" w:hint="eastAsia"/>
                      <w:sz w:val="18"/>
                      <w:szCs w:val="18"/>
                    </w:rPr>
                    <w:t>联中国成员之一。现已在北京、天津、青岛、西安、上海、杭州、南京、广州、东莞、佛山、昆明等地设立了分部。</w:t>
                  </w:r>
                  <w:r>
                    <w:rPr>
                      <w:rFonts w:ascii="微软雅黑" w:eastAsia="微软雅黑" w:hAnsi="微软雅黑" w:hint="eastAsia"/>
                      <w:sz w:val="18"/>
                      <w:szCs w:val="18"/>
                    </w:rPr>
                    <w:br/>
                  </w:r>
                  <w:r>
                    <w:rPr>
                      <w:rFonts w:ascii="微软雅黑" w:eastAsia="微软雅黑" w:hAnsi="微软雅黑" w:hint="eastAsia"/>
                      <w:sz w:val="18"/>
                      <w:szCs w:val="18"/>
                    </w:rPr>
                    <w:br/>
                  </w:r>
                  <w:proofErr w:type="gramStart"/>
                  <w:r>
                    <w:rPr>
                      <w:rFonts w:ascii="微软雅黑" w:eastAsia="微软雅黑" w:hAnsi="微软雅黑" w:hint="eastAsia"/>
                      <w:sz w:val="18"/>
                      <w:szCs w:val="18"/>
                    </w:rPr>
                    <w:t>华房数据整合世</w:t>
                  </w:r>
                  <w:proofErr w:type="gramEnd"/>
                  <w:r>
                    <w:rPr>
                      <w:rFonts w:ascii="微软雅黑" w:eastAsia="微软雅黑" w:hAnsi="微软雅黑" w:hint="eastAsia"/>
                      <w:sz w:val="18"/>
                      <w:szCs w:val="18"/>
                    </w:rPr>
                    <w:t>联平台资源，充分利用代理、评估、金融等多渠道数据源资源。以房地产物业每个房号的交易为数据颗粒，覆盖土地、新房、二手房的完整链条。</w:t>
                  </w: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 xml:space="preserve">致力住宅、工商的分类真实数据的采集，提供专业的数据分析服务，帮助客户准确把握房地产机会，防控投资风险，为客户创造价值。 </w:t>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71F2278D" wp14:editId="71E4450B">
                        <wp:extent cx="2381250" cy="809625"/>
                        <wp:effectExtent l="0" t="0" r="0" b="9525"/>
                        <wp:docPr id="42" name="图片 42" descr="http://www.starhousechina.com/M/img/工商快报/关于工商数据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arhousechina.com/M/img/工商快报/关于工商数据服务.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809625"/>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hint="eastAsia"/>
                      <w:sz w:val="18"/>
                      <w:szCs w:val="18"/>
                    </w:rPr>
                    <w:t>深圳华房数据技术有限公司（简称</w:t>
                  </w: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工商数据事业部于2007年成立，致力于中国办公楼宇及商业用房数据的收集和研究分析，着眼于了解客户业务、研究市场动态，并与客户建立长期战略伙伴关系，为客户提供最为广泛和全面的工商地产数据及相关咨询服务，以及为客户搭建工商地产交易平台服务，满足客户业务需求，并持续为客户提供基于客户业务发展和管理优化的增值服务。</w:t>
                  </w:r>
                  <w:r>
                    <w:rPr>
                      <w:rFonts w:ascii="微软雅黑" w:eastAsia="微软雅黑" w:hAnsi="微软雅黑" w:hint="eastAsia"/>
                      <w:sz w:val="18"/>
                      <w:szCs w:val="18"/>
                    </w:rPr>
                    <w:br/>
                  </w:r>
                  <w:r>
                    <w:rPr>
                      <w:rFonts w:ascii="微软雅黑" w:eastAsia="微软雅黑" w:hAnsi="微软雅黑" w:hint="eastAsia"/>
                      <w:sz w:val="18"/>
                      <w:szCs w:val="18"/>
                    </w:rPr>
                    <w:br/>
                  </w:r>
                  <w:r>
                    <w:rPr>
                      <w:rFonts w:ascii="微软雅黑" w:eastAsia="微软雅黑" w:hAnsi="微软雅黑" w:hint="eastAsia"/>
                      <w:b/>
                      <w:bCs/>
                      <w:sz w:val="20"/>
                      <w:szCs w:val="20"/>
                    </w:rPr>
                    <w:t>需要更多信息，请联系：</w:t>
                  </w:r>
                  <w:r>
                    <w:rPr>
                      <w:rFonts w:ascii="微软雅黑" w:eastAsia="微软雅黑" w:hAnsi="微软雅黑" w:hint="eastAsia"/>
                      <w:b/>
                      <w:bCs/>
                      <w:sz w:val="20"/>
                      <w:szCs w:val="20"/>
                    </w:rPr>
                    <w:br/>
                    <w:t>For more information, please contact:</w:t>
                  </w:r>
                  <w:r>
                    <w:rPr>
                      <w:rFonts w:ascii="微软雅黑" w:eastAsia="微软雅黑" w:hAnsi="微软雅黑" w:hint="eastAsia"/>
                      <w:sz w:val="18"/>
                      <w:szCs w:val="18"/>
                    </w:rPr>
                    <w:t xml:space="preserve"> </w:t>
                  </w:r>
                </w:p>
              </w:tc>
            </w:tr>
            <w:tr w:rsidR="00304888">
              <w:trPr>
                <w:tblCellSpacing w:w="15" w:type="dxa"/>
              </w:trPr>
              <w:tc>
                <w:tcPr>
                  <w:tcW w:w="5550" w:type="dxa"/>
                  <w:tcMar>
                    <w:top w:w="15" w:type="dxa"/>
                    <w:left w:w="600"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5D399FF8" wp14:editId="06BAD95E">
                        <wp:extent cx="1143000" cy="1704975"/>
                        <wp:effectExtent l="0" t="0" r="0" b="9525"/>
                        <wp:docPr id="41" name="图片 41" descr="http://www.starhousechina.com/M/img/工商快报/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arhousechina.com/M/img/工商快报/s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7049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b/>
                      <w:bCs/>
                      <w:sz w:val="23"/>
                      <w:szCs w:val="23"/>
                    </w:rPr>
                    <w:t>孙绮 Rachel Sun</w:t>
                  </w:r>
                  <w:r>
                    <w:rPr>
                      <w:rFonts w:ascii="微软雅黑" w:eastAsia="微软雅黑" w:hAnsi="微软雅黑" w:hint="eastAsia"/>
                      <w:sz w:val="18"/>
                      <w:szCs w:val="18"/>
                    </w:rPr>
                    <w:br/>
                  </w:r>
                  <w:r>
                    <w:rPr>
                      <w:rFonts w:ascii="微软雅黑" w:eastAsia="微软雅黑" w:hAnsi="微软雅黑" w:hint="eastAsia"/>
                      <w:sz w:val="20"/>
                      <w:szCs w:val="20"/>
                    </w:rPr>
                    <w:t>英国皇家特许测量师 MRICS</w:t>
                  </w:r>
                  <w:r>
                    <w:rPr>
                      <w:rFonts w:ascii="微软雅黑" w:eastAsia="微软雅黑" w:hAnsi="微软雅黑" w:hint="eastAsia"/>
                      <w:sz w:val="18"/>
                      <w:szCs w:val="18"/>
                    </w:rPr>
                    <w:br/>
                  </w:r>
                  <w:r>
                    <w:rPr>
                      <w:rFonts w:ascii="微软雅黑" w:eastAsia="微软雅黑" w:hAnsi="微软雅黑" w:hint="eastAsia"/>
                      <w:sz w:val="20"/>
                      <w:szCs w:val="20"/>
                    </w:rPr>
                    <w:t>总经理 General Manager</w:t>
                  </w:r>
                  <w:r>
                    <w:rPr>
                      <w:rFonts w:ascii="微软雅黑" w:eastAsia="微软雅黑" w:hAnsi="微软雅黑" w:hint="eastAsia"/>
                      <w:sz w:val="18"/>
                      <w:szCs w:val="18"/>
                    </w:rPr>
                    <w:br/>
                  </w:r>
                  <w:r>
                    <w:rPr>
                      <w:rFonts w:ascii="微软雅黑" w:eastAsia="微软雅黑" w:hAnsi="微软雅黑" w:hint="eastAsia"/>
                      <w:sz w:val="20"/>
                      <w:szCs w:val="20"/>
                    </w:rPr>
                    <w:t>T：+(86 55) 82548095</w:t>
                  </w:r>
                  <w:r>
                    <w:rPr>
                      <w:rFonts w:ascii="微软雅黑" w:eastAsia="微软雅黑" w:hAnsi="微软雅黑" w:hint="eastAsia"/>
                      <w:sz w:val="18"/>
                      <w:szCs w:val="18"/>
                    </w:rPr>
                    <w:br/>
                  </w:r>
                  <w:r>
                    <w:rPr>
                      <w:rFonts w:ascii="微软雅黑" w:eastAsia="微软雅黑" w:hAnsi="微软雅黑" w:hint="eastAsia"/>
                      <w:sz w:val="20"/>
                      <w:szCs w:val="20"/>
                    </w:rPr>
                    <w:t>E：</w:t>
                  </w:r>
                  <w:hyperlink w:history="1">
                    <w:r>
                      <w:rPr>
                        <w:rStyle w:val="a3"/>
                        <w:rFonts w:ascii="微软雅黑" w:eastAsia="微软雅黑" w:hAnsi="微软雅黑" w:hint="eastAsia"/>
                        <w:sz w:val="20"/>
                        <w:szCs w:val="20"/>
                      </w:rPr>
                      <w:t>SunQ@worldunion.com.cn</w:t>
                    </w:r>
                  </w:hyperlink>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4931B0AF" wp14:editId="1253F2A2">
                        <wp:extent cx="2381250" cy="885825"/>
                        <wp:effectExtent l="0" t="0" r="0" b="0"/>
                        <wp:docPr id="40" name="图片 40" descr="http://www.starhousechina.com/M/img/工商快报/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arhousechina.com/M/img/工商快报/快速链接.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885825"/>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noProof/>
                      <w:color w:val="0000FF"/>
                      <w:sz w:val="18"/>
                      <w:szCs w:val="18"/>
                    </w:rPr>
                    <w:drawing>
                      <wp:inline distT="0" distB="0" distL="0" distR="0" wp14:anchorId="398FE826" wp14:editId="60C9D597">
                        <wp:extent cx="1543050" cy="314325"/>
                        <wp:effectExtent l="0" t="0" r="0" b="9525"/>
                        <wp:docPr id="39" name="图片 39" descr="http://www.starhousechina.com/M/img/工商快报/访问我们的网站.gif">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arhousechina.com/M/img/工商快报/访问我们的网站.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line="375" w:lineRule="atLeast"/>
                    <w:rPr>
                      <w:rFonts w:ascii="微软雅黑" w:eastAsia="微软雅黑" w:hAnsi="微软雅黑" w:cs="宋体"/>
                      <w:sz w:val="18"/>
                      <w:szCs w:val="18"/>
                    </w:rPr>
                  </w:pPr>
                  <w:r>
                    <w:rPr>
                      <w:rFonts w:ascii="微软雅黑" w:eastAsia="微软雅黑" w:hAnsi="微软雅黑"/>
                      <w:noProof/>
                      <w:color w:val="0000FF"/>
                      <w:sz w:val="18"/>
                      <w:szCs w:val="18"/>
                    </w:rPr>
                    <w:drawing>
                      <wp:inline distT="0" distB="0" distL="0" distR="0" wp14:anchorId="3A13EF40" wp14:editId="29CE4B95">
                        <wp:extent cx="1543050" cy="314325"/>
                        <wp:effectExtent l="0" t="0" r="0" b="9525"/>
                        <wp:docPr id="38" name="图片 38" descr="http://www.starhousechina.com/M/img/工商快报/发邮件给我们.gif">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arhousechina.com/M/img/工商快报/发邮件给我们.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6A366B18" wp14:editId="44B75B00">
                        <wp:extent cx="1047750" cy="295275"/>
                        <wp:effectExtent l="0" t="0" r="0" b="9525"/>
                        <wp:docPr id="37" name="图片 37" descr="http://www.starhousechina.com/M/img/工商快报/关注我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arhousechina.com/M/img/工商快报/关注我们.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tc>
            </w:tr>
            <w:tr w:rsidR="00304888">
              <w:trPr>
                <w:tblCellSpacing w:w="15" w:type="dxa"/>
              </w:trPr>
              <w:tc>
                <w:tcPr>
                  <w:tcW w:w="5550" w:type="dxa"/>
                  <w:tcMar>
                    <w:top w:w="15" w:type="dxa"/>
                    <w:left w:w="600"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492ADC53" wp14:editId="0C534761">
                        <wp:extent cx="1562100" cy="1562100"/>
                        <wp:effectExtent l="0" t="0" r="0" b="0"/>
                        <wp:docPr id="36" name="图片 36" descr="http://www.starhousechina.com/M/img/工商快报/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arhousechina.com/M/img/工商快报/Rco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304888">
              <w:trPr>
                <w:tblCellSpacing w:w="15" w:type="dxa"/>
              </w:trPr>
              <w:tc>
                <w:tcPr>
                  <w:tcW w:w="5550" w:type="dxa"/>
                  <w:tcMar>
                    <w:top w:w="15" w:type="dxa"/>
                    <w:left w:w="15"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71E604F0" wp14:editId="20586DF1">
                        <wp:extent cx="2381250" cy="838200"/>
                        <wp:effectExtent l="0" t="0" r="0" b="0"/>
                        <wp:docPr id="35" name="图片 35" descr="http://www.starhousechina.com/M/img/工商快报/华房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arhousechina.com/M/img/工商快报/华房报告.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tc>
            </w:tr>
            <w:tr w:rsidR="00304888">
              <w:trPr>
                <w:tblCellSpacing w:w="15" w:type="dxa"/>
              </w:trPr>
              <w:tc>
                <w:tcPr>
                  <w:tcW w:w="5550" w:type="dxa"/>
                  <w:tcMar>
                    <w:top w:w="15" w:type="dxa"/>
                    <w:left w:w="1200"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7B7E68AD" wp14:editId="3B82A28B">
                        <wp:extent cx="1466850" cy="1152525"/>
                        <wp:effectExtent l="0" t="0" r="0" b="9525"/>
                        <wp:docPr id="34" name="图片 34" descr="http://www.starhousechina.com/M/img/工商快报/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arhousechina.com/M/img/工商快报/rdc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color w:val="FF0000"/>
                      <w:sz w:val="18"/>
                      <w:szCs w:val="18"/>
                    </w:rPr>
                    <w:t>热点城市房地产系列月报</w:t>
                  </w:r>
                  <w:r>
                    <w:rPr>
                      <w:rFonts w:ascii="微软雅黑" w:eastAsia="微软雅黑" w:hAnsi="微软雅黑" w:hint="eastAsia"/>
                      <w:sz w:val="18"/>
                      <w:szCs w:val="18"/>
                    </w:rPr>
                    <w:br/>
                  </w:r>
                  <w:hyperlink r:id="rId30" w:tgtFrame="_blank" w:history="1">
                    <w:r>
                      <w:rPr>
                        <w:rStyle w:val="a3"/>
                        <w:rFonts w:ascii="微软雅黑" w:eastAsia="微软雅黑" w:hAnsi="微软雅黑" w:hint="eastAsia"/>
                        <w:color w:val="000000"/>
                        <w:sz w:val="18"/>
                        <w:szCs w:val="18"/>
                      </w:rPr>
                      <w:t>《热点城市房地产系列月报》点击阅读</w:t>
                    </w:r>
                  </w:hyperlink>
                </w:p>
              </w:tc>
            </w:tr>
            <w:tr w:rsidR="00304888">
              <w:trPr>
                <w:tblCellSpacing w:w="15" w:type="dxa"/>
              </w:trPr>
              <w:tc>
                <w:tcPr>
                  <w:tcW w:w="5550" w:type="dxa"/>
                  <w:tcMar>
                    <w:top w:w="15" w:type="dxa"/>
                    <w:left w:w="1200"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1DA28557" wp14:editId="7EE22215">
                        <wp:extent cx="1466850" cy="2133600"/>
                        <wp:effectExtent l="0" t="0" r="0" b="0"/>
                        <wp:docPr id="33" name="图片 33" descr="http://www.starhousechina.com/M/img/工商快报/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arhousechina.com/M/img/工商快报/qgf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0" cy="2133600"/>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color w:val="FF0000"/>
                      <w:sz w:val="18"/>
                      <w:szCs w:val="18"/>
                    </w:rPr>
                    <w:t>全国房地产市场月报</w:t>
                  </w:r>
                  <w:r>
                    <w:rPr>
                      <w:rFonts w:ascii="微软雅黑" w:eastAsia="微软雅黑" w:hAnsi="微软雅黑" w:hint="eastAsia"/>
                      <w:sz w:val="18"/>
                      <w:szCs w:val="18"/>
                    </w:rPr>
                    <w:br/>
                  </w:r>
                  <w:hyperlink r:id="rId32" w:tgtFrame="_blank" w:history="1">
                    <w:r>
                      <w:rPr>
                        <w:rStyle w:val="a3"/>
                        <w:rFonts w:ascii="微软雅黑" w:eastAsia="微软雅黑" w:hAnsi="微软雅黑" w:hint="eastAsia"/>
                        <w:color w:val="000000"/>
                        <w:sz w:val="18"/>
                        <w:szCs w:val="18"/>
                      </w:rPr>
                      <w:t>《全国房地产市场月报》点击阅读</w:t>
                    </w:r>
                  </w:hyperlink>
                </w:p>
              </w:tc>
            </w:tr>
            <w:tr w:rsidR="00304888">
              <w:trPr>
                <w:tblCellSpacing w:w="15" w:type="dxa"/>
              </w:trPr>
              <w:tc>
                <w:tcPr>
                  <w:tcW w:w="5550" w:type="dxa"/>
                  <w:tcMar>
                    <w:top w:w="15" w:type="dxa"/>
                    <w:left w:w="1200" w:type="dxa"/>
                    <w:bottom w:w="15" w:type="dxa"/>
                    <w:right w:w="15" w:type="dxa"/>
                  </w:tcMar>
                  <w:vAlign w:val="center"/>
                  <w:hideMark/>
                </w:tcPr>
                <w:p w:rsidR="00304888" w:rsidRDefault="00304888">
                  <w:pPr>
                    <w:spacing w:after="240" w:line="375" w:lineRule="atLeast"/>
                    <w:rPr>
                      <w:rFonts w:ascii="微软雅黑" w:eastAsia="微软雅黑" w:hAnsi="微软雅黑" w:cs="宋体"/>
                      <w:sz w:val="18"/>
                      <w:szCs w:val="18"/>
                    </w:rPr>
                  </w:pPr>
                  <w:r>
                    <w:rPr>
                      <w:rFonts w:ascii="微软雅黑" w:eastAsia="微软雅黑" w:hAnsi="微软雅黑"/>
                      <w:noProof/>
                      <w:sz w:val="18"/>
                      <w:szCs w:val="18"/>
                    </w:rPr>
                    <w:drawing>
                      <wp:inline distT="0" distB="0" distL="0" distR="0" wp14:anchorId="44428AC5" wp14:editId="47D28D3E">
                        <wp:extent cx="1466850" cy="2009775"/>
                        <wp:effectExtent l="0" t="0" r="0" b="9525"/>
                        <wp:docPr id="32" name="图片 32" descr="http://www.starhousechina.com/M/img/工商快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arhousechina.com/M/img/工商快报/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20097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noProof/>
                      <w:sz w:val="18"/>
                      <w:szCs w:val="18"/>
                    </w:rPr>
                    <w:drawing>
                      <wp:inline distT="0" distB="0" distL="0" distR="0" wp14:anchorId="73817004" wp14:editId="47B34A41">
                        <wp:extent cx="1466850" cy="1743075"/>
                        <wp:effectExtent l="0" t="0" r="0" b="9525"/>
                        <wp:docPr id="31" name="图片 31" descr="http://www.starhousechina.com/M/img/工商快报/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arhousechina.com/M/img/工商快报/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7430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noProof/>
                      <w:sz w:val="18"/>
                      <w:szCs w:val="18"/>
                    </w:rPr>
                    <w:drawing>
                      <wp:inline distT="0" distB="0" distL="0" distR="0" wp14:anchorId="443482BE" wp14:editId="2D8898C7">
                        <wp:extent cx="1466850" cy="1762125"/>
                        <wp:effectExtent l="0" t="0" r="0" b="9525"/>
                        <wp:docPr id="30" name="图片 30" descr="http://www.starhousechina.com/M/img/工商快报/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arhousechina.com/M/img/工商快报/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r>
                    <w:rPr>
                      <w:rFonts w:ascii="微软雅黑" w:eastAsia="微软雅黑" w:hAnsi="微软雅黑" w:hint="eastAsia"/>
                      <w:sz w:val="18"/>
                      <w:szCs w:val="18"/>
                    </w:rPr>
                    <w:br/>
                  </w:r>
                  <w:proofErr w:type="gramStart"/>
                  <w:r>
                    <w:rPr>
                      <w:rFonts w:ascii="微软雅黑" w:eastAsia="微软雅黑" w:hAnsi="微软雅黑" w:hint="eastAsia"/>
                      <w:color w:val="FF0000"/>
                      <w:sz w:val="18"/>
                      <w:szCs w:val="18"/>
                    </w:rPr>
                    <w:t>世</w:t>
                  </w:r>
                  <w:proofErr w:type="gramEnd"/>
                  <w:r>
                    <w:rPr>
                      <w:rFonts w:ascii="微软雅黑" w:eastAsia="微软雅黑" w:hAnsi="微软雅黑" w:hint="eastAsia"/>
                      <w:color w:val="FF0000"/>
                      <w:sz w:val="18"/>
                      <w:szCs w:val="18"/>
                    </w:rPr>
                    <w:t>联系</w:t>
                  </w:r>
                  <w:proofErr w:type="gramStart"/>
                  <w:r>
                    <w:rPr>
                      <w:rFonts w:ascii="微软雅黑" w:eastAsia="微软雅黑" w:hAnsi="微软雅黑" w:hint="eastAsia"/>
                      <w:color w:val="FF0000"/>
                      <w:sz w:val="18"/>
                      <w:szCs w:val="18"/>
                    </w:rPr>
                    <w:t>列出版</w:t>
                  </w:r>
                  <w:proofErr w:type="gramEnd"/>
                  <w:r>
                    <w:rPr>
                      <w:rFonts w:ascii="微软雅黑" w:eastAsia="微软雅黑" w:hAnsi="微软雅黑" w:hint="eastAsia"/>
                      <w:sz w:val="18"/>
                      <w:szCs w:val="18"/>
                    </w:rPr>
                    <w:br/>
                  </w:r>
                  <w:hyperlink r:id="rId36" w:tgtFrame="_blank" w:history="1">
                    <w:r>
                      <w:rPr>
                        <w:rStyle w:val="a3"/>
                        <w:rFonts w:ascii="微软雅黑" w:eastAsia="微软雅黑" w:hAnsi="微软雅黑" w:hint="eastAsia"/>
                        <w:color w:val="000000"/>
                        <w:sz w:val="18"/>
                        <w:szCs w:val="18"/>
                      </w:rPr>
                      <w:t>《世联系列出版》点击阅读</w:t>
                    </w:r>
                  </w:hyperlink>
                </w:p>
              </w:tc>
            </w:tr>
          </w:tbl>
          <w:p w:rsidR="00304888" w:rsidRDefault="00304888">
            <w:pPr>
              <w:rPr>
                <w:rFonts w:ascii="Times New Roman" w:eastAsia="宋体" w:hAnsi="Times New Roman" w:cs="Times New Roman"/>
                <w:sz w:val="20"/>
                <w:szCs w:val="20"/>
              </w:rPr>
            </w:pPr>
          </w:p>
        </w:tc>
      </w:tr>
      <w:tr w:rsidR="00304888" w:rsidTr="00304888">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r>
      <w:tr w:rsidR="00304888" w:rsidTr="00304888">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304888" w:rsidRDefault="00304888">
            <w:pPr>
              <w:rPr>
                <w:rFonts w:ascii="Times New Roman" w:eastAsia="宋体" w:hAnsi="Times New Roman" w:cs="Times New Roman"/>
                <w:sz w:val="20"/>
                <w:szCs w:val="20"/>
              </w:rPr>
            </w:pPr>
          </w:p>
        </w:tc>
      </w:tr>
      <w:tr w:rsidR="00304888" w:rsidTr="00304888">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304888" w:rsidRDefault="00304888">
            <w:pPr>
              <w:rPr>
                <w:rFonts w:ascii="宋体" w:eastAsia="宋体" w:hAnsi="宋体" w:cs="宋体"/>
                <w:sz w:val="24"/>
                <w:szCs w:val="24"/>
              </w:rPr>
            </w:pPr>
            <w:r>
              <w:rPr>
                <w:noProof/>
              </w:rPr>
              <w:drawing>
                <wp:inline distT="0" distB="0" distL="0" distR="0" wp14:anchorId="6C59D764" wp14:editId="4DA91402">
                  <wp:extent cx="8896350" cy="76200"/>
                  <wp:effectExtent l="0" t="0" r="0" b="0"/>
                  <wp:docPr id="29" name="图片 29" descr="http://www.starhousechina.com/M/img/工商快报/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arhousechina.com/M/img/工商快报/lin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6350" cy="76200"/>
                          </a:xfrm>
                          <a:prstGeom prst="rect">
                            <a:avLst/>
                          </a:prstGeom>
                          <a:noFill/>
                          <a:ln>
                            <a:noFill/>
                          </a:ln>
                        </pic:spPr>
                      </pic:pic>
                    </a:graphicData>
                  </a:graphic>
                </wp:inline>
              </w:drawing>
            </w:r>
          </w:p>
        </w:tc>
      </w:tr>
      <w:tr w:rsidR="00304888" w:rsidTr="00304888">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304888" w:rsidRDefault="00304888">
            <w:pPr>
              <w:spacing w:line="375" w:lineRule="atLeast"/>
              <w:rPr>
                <w:rFonts w:ascii="微软雅黑" w:eastAsia="微软雅黑" w:hAnsi="微软雅黑" w:cs="宋体"/>
                <w:sz w:val="20"/>
                <w:szCs w:val="20"/>
              </w:rPr>
            </w:pPr>
            <w:r>
              <w:rPr>
                <w:rFonts w:ascii="微软雅黑" w:eastAsia="微软雅黑" w:hAnsi="微软雅黑" w:hint="eastAsia"/>
                <w:sz w:val="20"/>
                <w:szCs w:val="20"/>
              </w:rPr>
              <w:t>本报告所刊载的数据均来自可靠来源，但</w:t>
            </w:r>
            <w:proofErr w:type="gramStart"/>
            <w:r>
              <w:rPr>
                <w:rFonts w:ascii="微软雅黑" w:eastAsia="微软雅黑" w:hAnsi="微软雅黑" w:hint="eastAsia"/>
                <w:sz w:val="20"/>
                <w:szCs w:val="20"/>
              </w:rPr>
              <w:t>华房数据</w:t>
            </w:r>
            <w:proofErr w:type="gramEnd"/>
            <w:r>
              <w:rPr>
                <w:rFonts w:ascii="微软雅黑" w:eastAsia="微软雅黑" w:hAnsi="微软雅黑" w:hint="eastAsia"/>
                <w:sz w:val="20"/>
                <w:szCs w:val="20"/>
              </w:rPr>
              <w:t>及其员工不对数据的真实性合法性</w:t>
            </w:r>
            <w:proofErr w:type="gramStart"/>
            <w:r>
              <w:rPr>
                <w:rFonts w:ascii="微软雅黑" w:eastAsia="微软雅黑" w:hAnsi="微软雅黑" w:hint="eastAsia"/>
                <w:sz w:val="20"/>
                <w:szCs w:val="20"/>
              </w:rPr>
              <w:t>作出</w:t>
            </w:r>
            <w:proofErr w:type="gramEnd"/>
            <w:r>
              <w:rPr>
                <w:rFonts w:ascii="微软雅黑" w:eastAsia="微软雅黑" w:hAnsi="微软雅黑" w:hint="eastAsia"/>
                <w:sz w:val="20"/>
                <w:szCs w:val="20"/>
              </w:rPr>
              <w:t>任何保证或陈述。报告内容有可能会出现错误、遗漏、或价格租金变动及其他情况，还有在事前未经通知的销售、出租、融资或撤回。所有刊载 的预测、意见、假设或估计只作例子说明供参考，并不绝对代表地产市场的真实准确现况或未来表现。</w:t>
            </w:r>
            <w:r>
              <w:rPr>
                <w:rFonts w:ascii="微软雅黑" w:eastAsia="微软雅黑" w:hAnsi="微软雅黑" w:hint="eastAsia"/>
                <w:sz w:val="20"/>
                <w:szCs w:val="20"/>
              </w:rPr>
              <w:br/>
            </w:r>
            <w:r>
              <w:rPr>
                <w:rFonts w:ascii="微软雅黑" w:eastAsia="微软雅黑" w:hAnsi="微软雅黑" w:hint="eastAsia"/>
                <w:sz w:val="20"/>
                <w:szCs w:val="20"/>
              </w:rPr>
              <w:br/>
            </w:r>
            <w:proofErr w:type="gramStart"/>
            <w:r>
              <w:rPr>
                <w:rFonts w:ascii="微软雅黑" w:eastAsia="微软雅黑" w:hAnsi="微软雅黑" w:hint="eastAsia"/>
                <w:sz w:val="20"/>
                <w:szCs w:val="20"/>
              </w:rPr>
              <w:t>华房数据</w:t>
            </w:r>
            <w:proofErr w:type="gramEnd"/>
            <w:r>
              <w:rPr>
                <w:rFonts w:ascii="微软雅黑" w:eastAsia="微软雅黑" w:hAnsi="微软雅黑" w:hint="eastAsia"/>
                <w:sz w:val="20"/>
                <w:szCs w:val="20"/>
              </w:rPr>
              <w:t xml:space="preserve">保留一切版权，未经许可，不得转载。 </w:t>
            </w:r>
          </w:p>
        </w:tc>
      </w:tr>
    </w:tbl>
    <w:p w:rsidR="00304888" w:rsidRDefault="00304888" w:rsidP="00304888"/>
    <w:p w:rsidR="00342F17" w:rsidRPr="00304888" w:rsidRDefault="00342F17">
      <w:bookmarkStart w:id="0" w:name="_GoBack"/>
      <w:bookmarkEnd w:id="0"/>
    </w:p>
    <w:sectPr w:rsidR="00342F17" w:rsidRPr="003048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88"/>
    <w:rsid w:val="00304888"/>
    <w:rsid w:val="00342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4888"/>
    <w:rPr>
      <w:color w:val="0000FF"/>
      <w:u w:val="single"/>
    </w:rPr>
  </w:style>
  <w:style w:type="paragraph" w:styleId="a4">
    <w:name w:val="Balloon Text"/>
    <w:basedOn w:val="a"/>
    <w:link w:val="Char"/>
    <w:uiPriority w:val="99"/>
    <w:semiHidden/>
    <w:unhideWhenUsed/>
    <w:rsid w:val="00304888"/>
    <w:rPr>
      <w:sz w:val="18"/>
      <w:szCs w:val="18"/>
    </w:rPr>
  </w:style>
  <w:style w:type="character" w:customStyle="1" w:styleId="Char">
    <w:name w:val="批注框文本 Char"/>
    <w:basedOn w:val="a0"/>
    <w:link w:val="a4"/>
    <w:uiPriority w:val="99"/>
    <w:semiHidden/>
    <w:rsid w:val="003048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4888"/>
    <w:rPr>
      <w:color w:val="0000FF"/>
      <w:u w:val="single"/>
    </w:rPr>
  </w:style>
  <w:style w:type="paragraph" w:styleId="a4">
    <w:name w:val="Balloon Text"/>
    <w:basedOn w:val="a"/>
    <w:link w:val="Char"/>
    <w:uiPriority w:val="99"/>
    <w:semiHidden/>
    <w:unhideWhenUsed/>
    <w:rsid w:val="00304888"/>
    <w:rPr>
      <w:sz w:val="18"/>
      <w:szCs w:val="18"/>
    </w:rPr>
  </w:style>
  <w:style w:type="character" w:customStyle="1" w:styleId="Char">
    <w:name w:val="批注框文本 Char"/>
    <w:basedOn w:val="a0"/>
    <w:link w:val="a4"/>
    <w:uiPriority w:val="99"/>
    <w:semiHidden/>
    <w:rsid w:val="003048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29173">
      <w:bodyDiv w:val="1"/>
      <w:marLeft w:val="0"/>
      <w:marRight w:val="0"/>
      <w:marTop w:val="0"/>
      <w:marBottom w:val="0"/>
      <w:divBdr>
        <w:top w:val="none" w:sz="0" w:space="0" w:color="auto"/>
        <w:left w:val="none" w:sz="0" w:space="0" w:color="auto"/>
        <w:bottom w:val="none" w:sz="0" w:space="0" w:color="auto"/>
        <w:right w:val="none" w:sz="0" w:space="0" w:color="auto"/>
      </w:divBdr>
    </w:div>
    <w:div w:id="197945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gif"/><Relationship Id="rId33" Type="http://schemas.openxmlformats.org/officeDocument/2006/relationships/image" Target="media/image25.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mailto:liqin@worldunion.com.cn" TargetMode="External"/><Relationship Id="rId32" Type="http://schemas.openxmlformats.org/officeDocument/2006/relationships/hyperlink" Target="http://www.strategy-worldunion.com/list/?51_1.html" TargetMode="External"/><Relationship Id="rId37" Type="http://schemas.openxmlformats.org/officeDocument/2006/relationships/image" Target="media/image28.gi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gif"/><Relationship Id="rId28" Type="http://schemas.openxmlformats.org/officeDocument/2006/relationships/image" Target="media/image22.png"/><Relationship Id="rId36" Type="http://schemas.openxmlformats.org/officeDocument/2006/relationships/hyperlink" Target="http://www.worldunion.com.cn/cn/chuban/books.aspx"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starhousechina.com/home/" TargetMode="External"/><Relationship Id="rId27" Type="http://schemas.openxmlformats.org/officeDocument/2006/relationships/image" Target="media/image21.jpeg"/><Relationship Id="rId30" Type="http://schemas.openxmlformats.org/officeDocument/2006/relationships/hyperlink" Target="http://www.strategy-worldunion.com/list/?51_1.html" TargetMode="External"/><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912</Words>
  <Characters>5200</Characters>
  <Application>Microsoft Office Word</Application>
  <DocSecurity>0</DocSecurity>
  <Lines>43</Lines>
  <Paragraphs>12</Paragraphs>
  <ScaleCrop>false</ScaleCrop>
  <Company>Microsoft</Company>
  <LinksUpToDate>false</LinksUpToDate>
  <CharactersWithSpaces>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林立荣(WA02040)</dc:creator>
  <cp:lastModifiedBy>林立荣(WA02040)</cp:lastModifiedBy>
  <cp:revision>1</cp:revision>
  <dcterms:created xsi:type="dcterms:W3CDTF">2015-05-12T09:04:00Z</dcterms:created>
  <dcterms:modified xsi:type="dcterms:W3CDTF">2015-05-12T09:10:00Z</dcterms:modified>
</cp:coreProperties>
</file>