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180" w:type="dxa"/>
        <w:tblCellSpacing w:w="15" w:type="dxa"/>
        <w:tblBorders>
          <w:top w:val="single" w:sz="6" w:space="0" w:color="DBD6D6"/>
          <w:left w:val="single" w:sz="48" w:space="0" w:color="B13125"/>
          <w:bottom w:val="single" w:sz="6" w:space="0" w:color="DBD6D6"/>
          <w:right w:val="single" w:sz="6" w:space="0" w:color="DBD6D6"/>
        </w:tblBorders>
        <w:tblCellMar>
          <w:left w:w="75" w:type="dxa"/>
        </w:tblCellMar>
        <w:tblLook w:val="04A0"/>
      </w:tblPr>
      <w:tblGrid>
        <w:gridCol w:w="5085"/>
        <w:gridCol w:w="4530"/>
        <w:gridCol w:w="5565"/>
      </w:tblGrid>
      <w:tr w:rsidR="00344899" w:rsidTr="00344899">
        <w:trPr>
          <w:tblCellSpacing w:w="15" w:type="dxa"/>
        </w:trPr>
        <w:tc>
          <w:tcPr>
            <w:tcW w:w="5040" w:type="dxa"/>
            <w:tcBorders>
              <w:top w:val="nil"/>
              <w:left w:val="nil"/>
              <w:bottom w:val="nil"/>
              <w:right w:val="nil"/>
            </w:tcBorders>
            <w:tcMar>
              <w:top w:w="15" w:type="dxa"/>
              <w:left w:w="75" w:type="dxa"/>
              <w:bottom w:w="15" w:type="dxa"/>
              <w:right w:w="15" w:type="dxa"/>
            </w:tcMar>
            <w:vAlign w:val="center"/>
            <w:hideMark/>
          </w:tcPr>
          <w:p w:rsidR="00344899" w:rsidRDefault="00344899">
            <w:pPr>
              <w:rPr>
                <w:kern w:val="2"/>
              </w:rPr>
            </w:pPr>
            <w:bookmarkStart w:id="0" w:name="_GoBack"/>
            <w:bookmarkEnd w:id="0"/>
            <w:r>
              <w:rPr>
                <w:noProof/>
                <w:kern w:val="2"/>
              </w:rPr>
              <w:drawing>
                <wp:inline distT="0" distB="0" distL="0" distR="0">
                  <wp:extent cx="3124200" cy="1514475"/>
                  <wp:effectExtent l="19050" t="0" r="0" b="0"/>
                  <wp:docPr id="56" name="图片 1" descr="http://www.starhousechina.com/M/img/工商快报/工商快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rhousechina.com/M/img/工商快报/工商快报.png"/>
                          <pic:cNvPicPr>
                            <a:picLocks noChangeAspect="1" noChangeArrowheads="1"/>
                          </pic:cNvPicPr>
                        </pic:nvPicPr>
                        <pic:blipFill>
                          <a:blip r:embed="rId6"/>
                          <a:srcRect/>
                          <a:stretch>
                            <a:fillRect/>
                          </a:stretch>
                        </pic:blipFill>
                        <pic:spPr bwMode="auto">
                          <a:xfrm>
                            <a:off x="0" y="0"/>
                            <a:ext cx="3124200" cy="1514475"/>
                          </a:xfrm>
                          <a:prstGeom prst="rect">
                            <a:avLst/>
                          </a:prstGeom>
                          <a:noFill/>
                          <a:ln w="9525">
                            <a:noFill/>
                            <a:miter lim="800000"/>
                            <a:headEnd/>
                            <a:tailEnd/>
                          </a:ln>
                        </pic:spPr>
                      </pic:pic>
                    </a:graphicData>
                  </a:graphic>
                </wp:inline>
              </w:drawing>
            </w:r>
          </w:p>
        </w:tc>
        <w:tc>
          <w:tcPr>
            <w:tcW w:w="4500" w:type="dxa"/>
            <w:tcBorders>
              <w:top w:val="nil"/>
              <w:left w:val="nil"/>
              <w:bottom w:val="nil"/>
              <w:right w:val="nil"/>
            </w:tcBorders>
            <w:tcMar>
              <w:top w:w="15" w:type="dxa"/>
              <w:left w:w="75" w:type="dxa"/>
              <w:bottom w:w="15" w:type="dxa"/>
              <w:right w:w="15" w:type="dxa"/>
            </w:tcMar>
            <w:vAlign w:val="center"/>
            <w:hideMark/>
          </w:tcPr>
          <w:p w:rsidR="00344899" w:rsidRDefault="00344899">
            <w:pPr>
              <w:rPr>
                <w:rFonts w:asciiTheme="minorHAnsi" w:eastAsiaTheme="minorEastAsia" w:hAnsiTheme="minorHAnsi" w:cstheme="minorBidi"/>
                <w:kern w:val="2"/>
                <w:sz w:val="21"/>
                <w:szCs w:val="22"/>
              </w:rPr>
            </w:pPr>
          </w:p>
        </w:tc>
        <w:tc>
          <w:tcPr>
            <w:tcW w:w="5520" w:type="dxa"/>
            <w:tcBorders>
              <w:top w:val="nil"/>
              <w:left w:val="nil"/>
              <w:bottom w:val="nil"/>
              <w:right w:val="nil"/>
            </w:tcBorders>
            <w:tcMar>
              <w:top w:w="15" w:type="dxa"/>
              <w:left w:w="75" w:type="dxa"/>
              <w:bottom w:w="15" w:type="dxa"/>
              <w:right w:w="15" w:type="dxa"/>
            </w:tcMar>
            <w:vAlign w:val="center"/>
            <w:hideMark/>
          </w:tcPr>
          <w:p w:rsidR="00344899" w:rsidRDefault="00344899">
            <w:pPr>
              <w:rPr>
                <w:kern w:val="2"/>
              </w:rPr>
            </w:pPr>
            <w:r>
              <w:rPr>
                <w:noProof/>
                <w:kern w:val="2"/>
              </w:rPr>
              <w:drawing>
                <wp:inline distT="0" distB="0" distL="0" distR="0">
                  <wp:extent cx="2352675" cy="714375"/>
                  <wp:effectExtent l="19050" t="0" r="9525" b="0"/>
                  <wp:docPr id="55" name="图片 2" descr="http://www.starhousechina.com/M/img/工商快报/华房数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rhousechina.com/M/img/工商快报/华房数据.png"/>
                          <pic:cNvPicPr>
                            <a:picLocks noChangeAspect="1" noChangeArrowheads="1"/>
                          </pic:cNvPicPr>
                        </pic:nvPicPr>
                        <pic:blipFill>
                          <a:blip r:embed="rId7"/>
                          <a:srcRect/>
                          <a:stretch>
                            <a:fillRect/>
                          </a:stretch>
                        </pic:blipFill>
                        <pic:spPr bwMode="auto">
                          <a:xfrm>
                            <a:off x="0" y="0"/>
                            <a:ext cx="2352675" cy="714375"/>
                          </a:xfrm>
                          <a:prstGeom prst="rect">
                            <a:avLst/>
                          </a:prstGeom>
                          <a:noFill/>
                          <a:ln w="9525">
                            <a:noFill/>
                            <a:miter lim="800000"/>
                            <a:headEnd/>
                            <a:tailEnd/>
                          </a:ln>
                        </pic:spPr>
                      </pic:pic>
                    </a:graphicData>
                  </a:graphic>
                </wp:inline>
              </w:drawing>
            </w:r>
          </w:p>
          <w:p w:rsidR="00344899" w:rsidRDefault="00344899">
            <w:pPr>
              <w:jc w:val="center"/>
              <w:rPr>
                <w:kern w:val="2"/>
                <w:sz w:val="38"/>
                <w:szCs w:val="38"/>
              </w:rPr>
            </w:pPr>
            <w:r>
              <w:rPr>
                <w:rFonts w:hint="eastAsia"/>
                <w:kern w:val="2"/>
                <w:sz w:val="38"/>
                <w:szCs w:val="38"/>
              </w:rPr>
              <w:t>2015年5月27日 第10期</w:t>
            </w:r>
          </w:p>
        </w:tc>
      </w:tr>
      <w:tr w:rsidR="00344899" w:rsidTr="00344899">
        <w:trPr>
          <w:tblCellSpacing w:w="15" w:type="dxa"/>
        </w:trPr>
        <w:tc>
          <w:tcPr>
            <w:tcW w:w="15120" w:type="dxa"/>
            <w:gridSpan w:val="3"/>
            <w:tcBorders>
              <w:top w:val="nil"/>
              <w:left w:val="nil"/>
              <w:bottom w:val="nil"/>
              <w:right w:val="nil"/>
            </w:tcBorders>
            <w:tcMar>
              <w:top w:w="15" w:type="dxa"/>
              <w:left w:w="75" w:type="dxa"/>
              <w:bottom w:w="15" w:type="dxa"/>
              <w:right w:w="15" w:type="dxa"/>
            </w:tcMar>
            <w:vAlign w:val="center"/>
            <w:hideMark/>
          </w:tcPr>
          <w:p w:rsidR="00344899" w:rsidRDefault="00344899">
            <w:pPr>
              <w:rPr>
                <w:kern w:val="2"/>
              </w:rPr>
            </w:pPr>
            <w:r>
              <w:rPr>
                <w:noProof/>
                <w:kern w:val="2"/>
              </w:rPr>
              <w:drawing>
                <wp:inline distT="0" distB="0" distL="0" distR="0">
                  <wp:extent cx="9525000" cy="2524125"/>
                  <wp:effectExtent l="19050" t="0" r="0" b="0"/>
                  <wp:docPr id="54" name="图片 3" descr="http://www.starhousechina.com/M/img/工商快报/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rhousechina.com/M/img/工商快报/banner.jpg"/>
                          <pic:cNvPicPr>
                            <a:picLocks noChangeAspect="1" noChangeArrowheads="1"/>
                          </pic:cNvPicPr>
                        </pic:nvPicPr>
                        <pic:blipFill>
                          <a:blip r:embed="rId8"/>
                          <a:srcRect/>
                          <a:stretch>
                            <a:fillRect/>
                          </a:stretch>
                        </pic:blipFill>
                        <pic:spPr bwMode="auto">
                          <a:xfrm>
                            <a:off x="0" y="0"/>
                            <a:ext cx="9525000" cy="2524125"/>
                          </a:xfrm>
                          <a:prstGeom prst="rect">
                            <a:avLst/>
                          </a:prstGeom>
                          <a:noFill/>
                          <a:ln w="9525">
                            <a:noFill/>
                            <a:miter lim="800000"/>
                            <a:headEnd/>
                            <a:tailEnd/>
                          </a:ln>
                        </pic:spPr>
                      </pic:pic>
                    </a:graphicData>
                  </a:graphic>
                </wp:inline>
              </w:drawing>
            </w:r>
          </w:p>
        </w:tc>
      </w:tr>
      <w:tr w:rsidR="00344899" w:rsidTr="00344899">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344899" w:rsidRDefault="00344899">
            <w:pPr>
              <w:rPr>
                <w:rFonts w:asciiTheme="minorHAnsi" w:eastAsiaTheme="minorEastAsia" w:hAnsiTheme="minorHAnsi" w:cstheme="minorBidi"/>
                <w:kern w:val="2"/>
                <w:sz w:val="21"/>
                <w:szCs w:val="22"/>
              </w:rPr>
            </w:pPr>
          </w:p>
        </w:tc>
        <w:tc>
          <w:tcPr>
            <w:tcW w:w="0" w:type="auto"/>
            <w:tcBorders>
              <w:top w:val="nil"/>
              <w:left w:val="nil"/>
              <w:bottom w:val="nil"/>
              <w:right w:val="nil"/>
            </w:tcBorders>
            <w:tcMar>
              <w:top w:w="15" w:type="dxa"/>
              <w:left w:w="75" w:type="dxa"/>
              <w:bottom w:w="15" w:type="dxa"/>
              <w:right w:w="15" w:type="dxa"/>
            </w:tcMar>
            <w:vAlign w:val="center"/>
            <w:hideMark/>
          </w:tcPr>
          <w:p w:rsidR="00344899" w:rsidRDefault="00344899">
            <w:pPr>
              <w:rPr>
                <w:rFonts w:asciiTheme="minorHAnsi" w:eastAsiaTheme="minorEastAsia" w:hAnsiTheme="minorHAnsi" w:cstheme="minorBidi"/>
                <w:kern w:val="2"/>
                <w:sz w:val="21"/>
                <w:szCs w:val="22"/>
              </w:rPr>
            </w:pPr>
          </w:p>
        </w:tc>
        <w:tc>
          <w:tcPr>
            <w:tcW w:w="0" w:type="auto"/>
            <w:tcBorders>
              <w:top w:val="nil"/>
              <w:left w:val="nil"/>
              <w:bottom w:val="nil"/>
              <w:right w:val="nil"/>
            </w:tcBorders>
            <w:tcMar>
              <w:top w:w="15" w:type="dxa"/>
              <w:left w:w="75" w:type="dxa"/>
              <w:bottom w:w="15" w:type="dxa"/>
              <w:right w:w="15" w:type="dxa"/>
            </w:tcMar>
            <w:vAlign w:val="center"/>
            <w:hideMark/>
          </w:tcPr>
          <w:p w:rsidR="00344899" w:rsidRDefault="00344899">
            <w:pPr>
              <w:rPr>
                <w:rFonts w:asciiTheme="minorHAnsi" w:eastAsiaTheme="minorEastAsia" w:hAnsiTheme="minorHAnsi" w:cstheme="minorBidi"/>
                <w:kern w:val="2"/>
                <w:sz w:val="21"/>
                <w:szCs w:val="22"/>
              </w:rPr>
            </w:pPr>
          </w:p>
        </w:tc>
      </w:tr>
      <w:tr w:rsidR="00344899" w:rsidTr="00344899">
        <w:trPr>
          <w:tblCellSpacing w:w="15" w:type="dxa"/>
        </w:trPr>
        <w:tc>
          <w:tcPr>
            <w:tcW w:w="0" w:type="auto"/>
            <w:gridSpan w:val="2"/>
            <w:tcBorders>
              <w:top w:val="nil"/>
              <w:left w:val="nil"/>
              <w:bottom w:val="nil"/>
              <w:right w:val="nil"/>
            </w:tcBorders>
            <w:tcMar>
              <w:top w:w="15" w:type="dxa"/>
              <w:left w:w="75" w:type="dxa"/>
              <w:bottom w:w="15" w:type="dxa"/>
              <w:right w:w="15" w:type="dxa"/>
            </w:tcMar>
            <w:vAlign w:val="center"/>
            <w:hideMark/>
          </w:tcPr>
          <w:tbl>
            <w:tblPr>
              <w:tblW w:w="9450" w:type="dxa"/>
              <w:tblCellSpacing w:w="15" w:type="dxa"/>
              <w:tblLook w:val="04A0"/>
            </w:tblPr>
            <w:tblGrid>
              <w:gridCol w:w="9450"/>
            </w:tblGrid>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noProof/>
                      <w:kern w:val="2"/>
                      <w:sz w:val="20"/>
                      <w:szCs w:val="20"/>
                    </w:rPr>
                    <w:drawing>
                      <wp:inline distT="0" distB="0" distL="0" distR="0">
                        <wp:extent cx="5905500" cy="809625"/>
                        <wp:effectExtent l="19050" t="0" r="0" b="0"/>
                        <wp:docPr id="53" name="图片 4" descr="http://www.starhousechina.com/M/img/工商快报/大宗买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rhousechina.com/M/img/工商快报/大宗买卖.png"/>
                                <pic:cNvPicPr>
                                  <a:picLocks noChangeAspect="1" noChangeArrowheads="1"/>
                                </pic:cNvPicPr>
                              </pic:nvPicPr>
                              <pic:blipFill>
                                <a:blip r:embed="rId9"/>
                                <a:srcRect/>
                                <a:stretch>
                                  <a:fillRect/>
                                </a:stretch>
                              </pic:blipFill>
                              <pic:spPr bwMode="auto">
                                <a:xfrm>
                                  <a:off x="0" y="0"/>
                                  <a:ext cx="5905500" cy="809625"/>
                                </a:xfrm>
                                <a:prstGeom prst="rect">
                                  <a:avLst/>
                                </a:prstGeom>
                                <a:noFill/>
                                <a:ln w="9525">
                                  <a:noFill/>
                                  <a:miter lim="800000"/>
                                  <a:headEnd/>
                                  <a:tailEnd/>
                                </a:ln>
                              </pic:spPr>
                            </pic:pic>
                          </a:graphicData>
                        </a:graphic>
                      </wp:inline>
                    </w:drawing>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卖出</w:t>
                  </w:r>
                </w:p>
              </w:tc>
            </w:tr>
            <w:tr w:rsidR="00344899">
              <w:trPr>
                <w:tblCellSpacing w:w="15" w:type="dxa"/>
              </w:trPr>
              <w:tc>
                <w:tcPr>
                  <w:tcW w:w="0" w:type="auto"/>
                  <w:tcMar>
                    <w:top w:w="15" w:type="dxa"/>
                    <w:left w:w="15" w:type="dxa"/>
                    <w:bottom w:w="15" w:type="dxa"/>
                    <w:right w:w="15" w:type="dxa"/>
                  </w:tcMar>
                  <w:vAlign w:val="center"/>
                </w:tcPr>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2015-05-06 上海市土地交易市场挂牌出让闵行区虹桥商务区核心区北片区15号地块土地使用权，土地面积17680.70</w:t>
                        </w:r>
                        <w:r>
                          <w:rPr>
                            <w:rFonts w:hint="eastAsia"/>
                            <w:kern w:val="2"/>
                            <w:sz w:val="20"/>
                            <w:szCs w:val="20"/>
                          </w:rPr>
                          <w:t>㎡</w:t>
                        </w:r>
                        <w:r>
                          <w:rPr>
                            <w:rFonts w:ascii="微软雅黑" w:eastAsia="微软雅黑" w:hAnsi="微软雅黑" w:cs="微软雅黑" w:hint="eastAsia"/>
                            <w:kern w:val="2"/>
                            <w:sz w:val="20"/>
                            <w:szCs w:val="20"/>
                          </w:rPr>
                          <w:t>，商办用地。</w:t>
                        </w:r>
                        <w:r>
                          <w:rPr>
                            <w:rFonts w:ascii="微软雅黑" w:eastAsia="微软雅黑" w:hAnsi="微软雅黑" w:hint="eastAsia"/>
                            <w:kern w:val="2"/>
                            <w:sz w:val="20"/>
                            <w:szCs w:val="20"/>
                          </w:rPr>
                          <w:t xml:space="preserve"> </w:t>
                        </w:r>
                      </w:p>
                    </w:tc>
                  </w:tr>
                </w:tbl>
                <w:p w:rsidR="00344899" w:rsidRDefault="00344899">
                  <w:pPr>
                    <w:spacing w:line="375" w:lineRule="atLeast"/>
                    <w:rPr>
                      <w:rFonts w:ascii="微软雅黑" w:eastAsia="微软雅黑" w:hAnsi="微软雅黑"/>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2015-05-21 上海市土地交易市场挂牌出让嘉定区嘉定新城F01D-1地块土地使用权，土地面积6424.00</w:t>
                        </w:r>
                        <w:r>
                          <w:rPr>
                            <w:rFonts w:hint="eastAsia"/>
                            <w:kern w:val="2"/>
                            <w:sz w:val="20"/>
                            <w:szCs w:val="20"/>
                          </w:rPr>
                          <w:t>㎡</w:t>
                        </w:r>
                        <w:r>
                          <w:rPr>
                            <w:rFonts w:ascii="微软雅黑" w:eastAsia="微软雅黑" w:hAnsi="微软雅黑" w:cs="微软雅黑" w:hint="eastAsia"/>
                            <w:kern w:val="2"/>
                            <w:sz w:val="20"/>
                            <w:szCs w:val="20"/>
                          </w:rPr>
                          <w:t>，办公用地。</w:t>
                        </w:r>
                        <w:r>
                          <w:rPr>
                            <w:rFonts w:ascii="微软雅黑" w:eastAsia="微软雅黑" w:hAnsi="微软雅黑" w:hint="eastAsia"/>
                            <w:kern w:val="2"/>
                            <w:sz w:val="20"/>
                            <w:szCs w:val="20"/>
                          </w:rPr>
                          <w:t xml:space="preserve"> </w:t>
                        </w:r>
                      </w:p>
                    </w:tc>
                  </w:tr>
                </w:tbl>
                <w:p w:rsidR="00344899" w:rsidRDefault="00344899">
                  <w:pPr>
                    <w:spacing w:line="375" w:lineRule="atLeast"/>
                    <w:rPr>
                      <w:rFonts w:ascii="微软雅黑" w:eastAsia="微软雅黑" w:hAnsi="微软雅黑" w:hint="eastAsia"/>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2015-05-26 上海市土地交易市场挂牌出让浦东新区南码头社区Z000302编制单元14-03c地块土地使用权，土地面积9084.80</w:t>
                        </w:r>
                        <w:r>
                          <w:rPr>
                            <w:rFonts w:hint="eastAsia"/>
                            <w:kern w:val="2"/>
                            <w:sz w:val="20"/>
                            <w:szCs w:val="20"/>
                          </w:rPr>
                          <w:t>㎡</w:t>
                        </w:r>
                        <w:r>
                          <w:rPr>
                            <w:rFonts w:ascii="微软雅黑" w:eastAsia="微软雅黑" w:hAnsi="微软雅黑" w:cs="微软雅黑" w:hint="eastAsia"/>
                            <w:kern w:val="2"/>
                            <w:sz w:val="20"/>
                            <w:szCs w:val="20"/>
                          </w:rPr>
                          <w:t>，办公用地。</w:t>
                        </w:r>
                        <w:r>
                          <w:rPr>
                            <w:rFonts w:ascii="微软雅黑" w:eastAsia="微软雅黑" w:hAnsi="微软雅黑" w:hint="eastAsia"/>
                            <w:kern w:val="2"/>
                            <w:sz w:val="20"/>
                            <w:szCs w:val="20"/>
                          </w:rPr>
                          <w:t xml:space="preserve"> </w:t>
                        </w:r>
                      </w:p>
                    </w:tc>
                  </w:tr>
                </w:tbl>
                <w:p w:rsidR="00344899" w:rsidRDefault="00344899">
                  <w:pPr>
                    <w:spacing w:line="375" w:lineRule="atLeast"/>
                    <w:rPr>
                      <w:rFonts w:ascii="微软雅黑" w:eastAsia="微软雅黑" w:hAnsi="微软雅黑" w:hint="eastAsia"/>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2015-05-18 深圳市土地房产交易中心挂牌出让南山区后海中心区T107-0080地块土地使用权，土地面积3610.13</w:t>
                        </w:r>
                        <w:r>
                          <w:rPr>
                            <w:rFonts w:hint="eastAsia"/>
                            <w:kern w:val="2"/>
                            <w:sz w:val="20"/>
                            <w:szCs w:val="20"/>
                          </w:rPr>
                          <w:t>㎡</w:t>
                        </w:r>
                        <w:r>
                          <w:rPr>
                            <w:rFonts w:ascii="微软雅黑" w:eastAsia="微软雅黑" w:hAnsi="微软雅黑" w:cs="微软雅黑" w:hint="eastAsia"/>
                            <w:kern w:val="2"/>
                            <w:sz w:val="20"/>
                            <w:szCs w:val="20"/>
                          </w:rPr>
                          <w:t>，商业用地。</w:t>
                        </w:r>
                        <w:r>
                          <w:rPr>
                            <w:rFonts w:ascii="微软雅黑" w:eastAsia="微软雅黑" w:hAnsi="微软雅黑" w:hint="eastAsia"/>
                            <w:kern w:val="2"/>
                            <w:sz w:val="20"/>
                            <w:szCs w:val="20"/>
                          </w:rPr>
                          <w:t xml:space="preserve"> </w:t>
                        </w:r>
                      </w:p>
                    </w:tc>
                  </w:tr>
                </w:tbl>
                <w:p w:rsidR="00344899" w:rsidRDefault="00344899">
                  <w:pPr>
                    <w:spacing w:line="375" w:lineRule="atLeast"/>
                    <w:rPr>
                      <w:rFonts w:ascii="微软雅黑" w:eastAsia="微软雅黑" w:hAnsi="微软雅黑" w:hint="eastAsia"/>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2015-05-20 萧山区招投标交易中心挂牌出让新街街道地块土地使用权，土地面积50259.00</w:t>
                        </w:r>
                        <w:r>
                          <w:rPr>
                            <w:rFonts w:hint="eastAsia"/>
                            <w:kern w:val="2"/>
                            <w:sz w:val="20"/>
                            <w:szCs w:val="20"/>
                          </w:rPr>
                          <w:t>㎡</w:t>
                        </w:r>
                        <w:r>
                          <w:rPr>
                            <w:rFonts w:ascii="微软雅黑" w:eastAsia="微软雅黑" w:hAnsi="微软雅黑" w:cs="微软雅黑" w:hint="eastAsia"/>
                            <w:kern w:val="2"/>
                            <w:sz w:val="20"/>
                            <w:szCs w:val="20"/>
                          </w:rPr>
                          <w:t>，商业用地。</w:t>
                        </w:r>
                        <w:r>
                          <w:rPr>
                            <w:rFonts w:ascii="微软雅黑" w:eastAsia="微软雅黑" w:hAnsi="微软雅黑" w:hint="eastAsia"/>
                            <w:kern w:val="2"/>
                            <w:sz w:val="20"/>
                            <w:szCs w:val="20"/>
                          </w:rPr>
                          <w:t xml:space="preserve"> </w:t>
                        </w:r>
                      </w:p>
                    </w:tc>
                  </w:tr>
                </w:tbl>
                <w:p w:rsidR="00344899" w:rsidRDefault="00344899">
                  <w:pPr>
                    <w:rPr>
                      <w:rFonts w:asciiTheme="minorHAnsi" w:eastAsiaTheme="minorEastAsia" w:hAnsiTheme="minorHAnsi" w:cstheme="minorBidi"/>
                      <w:kern w:val="2"/>
                      <w:sz w:val="21"/>
                      <w:szCs w:val="22"/>
                    </w:rPr>
                  </w:pP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买进</w:t>
                  </w:r>
                </w:p>
              </w:tc>
            </w:tr>
            <w:tr w:rsidR="00344899">
              <w:trPr>
                <w:tblCellSpacing w:w="15" w:type="dxa"/>
              </w:trPr>
              <w:tc>
                <w:tcPr>
                  <w:tcW w:w="0" w:type="auto"/>
                  <w:tcMar>
                    <w:top w:w="15" w:type="dxa"/>
                    <w:left w:w="15" w:type="dxa"/>
                    <w:bottom w:w="15" w:type="dxa"/>
                    <w:right w:w="15" w:type="dxa"/>
                  </w:tcMar>
                  <w:vAlign w:val="center"/>
                </w:tcPr>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2015-05-14 宁波资辉投资管理中心（有限合伙）挂牌竞得杭州市拱墅区申花单元GS05-B1/B2-09（原C2-09）地块土地使用权，土地面积12545.00</w:t>
                        </w:r>
                        <w:r>
                          <w:rPr>
                            <w:rFonts w:hint="eastAsia"/>
                            <w:kern w:val="2"/>
                            <w:sz w:val="20"/>
                            <w:szCs w:val="20"/>
                          </w:rPr>
                          <w:t>㎡</w:t>
                        </w:r>
                        <w:r>
                          <w:rPr>
                            <w:rFonts w:ascii="微软雅黑" w:eastAsia="微软雅黑" w:hAnsi="微软雅黑" w:cs="微软雅黑" w:hint="eastAsia"/>
                            <w:kern w:val="2"/>
                            <w:sz w:val="20"/>
                            <w:szCs w:val="20"/>
                          </w:rPr>
                          <w:t>，成交价格</w:t>
                        </w:r>
                        <w:r>
                          <w:rPr>
                            <w:rFonts w:ascii="微软雅黑" w:eastAsia="微软雅黑" w:hAnsi="微软雅黑" w:hint="eastAsia"/>
                            <w:kern w:val="2"/>
                            <w:sz w:val="20"/>
                            <w:szCs w:val="20"/>
                          </w:rPr>
                          <w:t xml:space="preserve">33853.00万元，商办用地。 </w:t>
                        </w:r>
                      </w:p>
                    </w:tc>
                  </w:tr>
                </w:tbl>
                <w:p w:rsidR="00344899" w:rsidRDefault="00344899">
                  <w:pPr>
                    <w:spacing w:line="375" w:lineRule="atLeast"/>
                    <w:rPr>
                      <w:rFonts w:ascii="微软雅黑" w:eastAsia="微软雅黑" w:hAnsi="微软雅黑"/>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2015-05-15 上海渝岚房地产开发有限公司挂牌竞得上海闵行区虹桥商务区核心区北片区15号地块土地使用权，土地面积17680.70</w:t>
                        </w:r>
                        <w:r>
                          <w:rPr>
                            <w:rFonts w:hint="eastAsia"/>
                            <w:kern w:val="2"/>
                            <w:sz w:val="20"/>
                            <w:szCs w:val="20"/>
                          </w:rPr>
                          <w:t>㎡</w:t>
                        </w:r>
                        <w:r>
                          <w:rPr>
                            <w:rFonts w:ascii="微软雅黑" w:eastAsia="微软雅黑" w:hAnsi="微软雅黑" w:cs="微软雅黑" w:hint="eastAsia"/>
                            <w:kern w:val="2"/>
                            <w:sz w:val="20"/>
                            <w:szCs w:val="20"/>
                          </w:rPr>
                          <w:t>，成交价格</w:t>
                        </w:r>
                        <w:r>
                          <w:rPr>
                            <w:rFonts w:ascii="微软雅黑" w:eastAsia="微软雅黑" w:hAnsi="微软雅黑" w:hint="eastAsia"/>
                            <w:kern w:val="2"/>
                            <w:sz w:val="20"/>
                            <w:szCs w:val="20"/>
                          </w:rPr>
                          <w:t xml:space="preserve">32266.00万元，商办用地。 </w:t>
                        </w:r>
                      </w:p>
                    </w:tc>
                  </w:tr>
                </w:tbl>
                <w:p w:rsidR="00344899" w:rsidRDefault="00344899">
                  <w:pPr>
                    <w:spacing w:line="375" w:lineRule="atLeast"/>
                    <w:rPr>
                      <w:rFonts w:ascii="微软雅黑" w:eastAsia="微软雅黑" w:hAnsi="微软雅黑" w:hint="eastAsia"/>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2015-05-06 永诚财产保险有限公司挂牌竞得上海浦东新区上海世博会地区A03C-01地块土地使用权，土地面积5578.60</w:t>
                        </w:r>
                        <w:r>
                          <w:rPr>
                            <w:rFonts w:hint="eastAsia"/>
                            <w:kern w:val="2"/>
                            <w:sz w:val="20"/>
                            <w:szCs w:val="20"/>
                          </w:rPr>
                          <w:t>㎡</w:t>
                        </w:r>
                        <w:r>
                          <w:rPr>
                            <w:rFonts w:ascii="微软雅黑" w:eastAsia="微软雅黑" w:hAnsi="微软雅黑" w:cs="微软雅黑" w:hint="eastAsia"/>
                            <w:kern w:val="2"/>
                            <w:sz w:val="20"/>
                            <w:szCs w:val="20"/>
                          </w:rPr>
                          <w:t>，成交价格</w:t>
                        </w:r>
                        <w:r>
                          <w:rPr>
                            <w:rFonts w:ascii="微软雅黑" w:eastAsia="微软雅黑" w:hAnsi="微软雅黑" w:hint="eastAsia"/>
                            <w:kern w:val="2"/>
                            <w:sz w:val="20"/>
                            <w:szCs w:val="20"/>
                          </w:rPr>
                          <w:t xml:space="preserve">76000.00万元，商办用地。 </w:t>
                        </w:r>
                      </w:p>
                    </w:tc>
                  </w:tr>
                </w:tbl>
                <w:p w:rsidR="00344899" w:rsidRDefault="00344899">
                  <w:pPr>
                    <w:spacing w:line="375" w:lineRule="atLeast"/>
                    <w:rPr>
                      <w:rFonts w:ascii="微软雅黑" w:eastAsia="微软雅黑" w:hAnsi="微软雅黑" w:hint="eastAsia"/>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2015-05-06 绿地地产集团有限公司挂牌竞得上海奉贤区海湾镇16-01区域地块土地使用权，土地面积51544.20</w:t>
                        </w:r>
                        <w:r>
                          <w:rPr>
                            <w:rFonts w:hint="eastAsia"/>
                            <w:kern w:val="2"/>
                            <w:sz w:val="20"/>
                            <w:szCs w:val="20"/>
                          </w:rPr>
                          <w:t>㎡</w:t>
                        </w:r>
                        <w:r>
                          <w:rPr>
                            <w:rFonts w:ascii="微软雅黑" w:eastAsia="微软雅黑" w:hAnsi="微软雅黑" w:cs="微软雅黑" w:hint="eastAsia"/>
                            <w:kern w:val="2"/>
                            <w:sz w:val="20"/>
                            <w:szCs w:val="20"/>
                          </w:rPr>
                          <w:t>，成交价格</w:t>
                        </w:r>
                        <w:r>
                          <w:rPr>
                            <w:rFonts w:ascii="微软雅黑" w:eastAsia="微软雅黑" w:hAnsi="微软雅黑" w:hint="eastAsia"/>
                            <w:kern w:val="2"/>
                            <w:sz w:val="20"/>
                            <w:szCs w:val="20"/>
                          </w:rPr>
                          <w:t xml:space="preserve">23056.00万元，商业用地。 </w:t>
                        </w:r>
                      </w:p>
                    </w:tc>
                  </w:tr>
                </w:tbl>
                <w:p w:rsidR="00344899" w:rsidRDefault="00344899">
                  <w:pPr>
                    <w:spacing w:line="375" w:lineRule="atLeast"/>
                    <w:rPr>
                      <w:rFonts w:ascii="微软雅黑" w:eastAsia="微软雅黑" w:hAnsi="微软雅黑" w:hint="eastAsia"/>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2015-05-22 四川户信名人置业有限公司挂牌竞得成都市成华区八里庄路50号土地使用权，土地面积25824.14</w:t>
                        </w:r>
                        <w:r>
                          <w:rPr>
                            <w:rFonts w:hint="eastAsia"/>
                            <w:kern w:val="2"/>
                            <w:sz w:val="20"/>
                            <w:szCs w:val="20"/>
                          </w:rPr>
                          <w:t>㎡</w:t>
                        </w:r>
                        <w:r>
                          <w:rPr>
                            <w:rFonts w:ascii="微软雅黑" w:eastAsia="微软雅黑" w:hAnsi="微软雅黑" w:cs="微软雅黑" w:hint="eastAsia"/>
                            <w:kern w:val="2"/>
                            <w:sz w:val="20"/>
                            <w:szCs w:val="20"/>
                          </w:rPr>
                          <w:t>，成交价格</w:t>
                        </w:r>
                        <w:r>
                          <w:rPr>
                            <w:rFonts w:ascii="微软雅黑" w:eastAsia="微软雅黑" w:hAnsi="微软雅黑" w:hint="eastAsia"/>
                            <w:kern w:val="2"/>
                            <w:sz w:val="20"/>
                            <w:szCs w:val="20"/>
                          </w:rPr>
                          <w:t xml:space="preserve">28507.82万元，商业用地。 </w:t>
                        </w:r>
                      </w:p>
                    </w:tc>
                  </w:tr>
                </w:tbl>
                <w:p w:rsidR="00344899" w:rsidRDefault="00344899">
                  <w:pPr>
                    <w:rPr>
                      <w:rFonts w:asciiTheme="minorHAnsi" w:eastAsiaTheme="minorEastAsia" w:hAnsiTheme="minorHAnsi" w:cstheme="minorBidi"/>
                      <w:kern w:val="2"/>
                      <w:sz w:val="21"/>
                      <w:szCs w:val="22"/>
                    </w:rPr>
                  </w:pP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noProof/>
                      <w:kern w:val="2"/>
                      <w:sz w:val="20"/>
                      <w:szCs w:val="20"/>
                    </w:rPr>
                    <w:drawing>
                      <wp:inline distT="0" distB="0" distL="0" distR="0">
                        <wp:extent cx="5867400" cy="800100"/>
                        <wp:effectExtent l="19050" t="0" r="0" b="0"/>
                        <wp:docPr id="52" name="图片 5" descr="http://www.starhousechina.com/M/img/工商快报/市场资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arhousechina.com/M/img/工商快报/市场资讯.png"/>
                                <pic:cNvPicPr>
                                  <a:picLocks noChangeAspect="1" noChangeArrowheads="1"/>
                                </pic:cNvPicPr>
                              </pic:nvPicPr>
                              <pic:blipFill>
                                <a:blip r:embed="rId10"/>
                                <a:srcRect/>
                                <a:stretch>
                                  <a:fillRect/>
                                </a:stretch>
                              </pic:blipFill>
                              <pic:spPr bwMode="auto">
                                <a:xfrm>
                                  <a:off x="0" y="0"/>
                                  <a:ext cx="5867400" cy="800100"/>
                                </a:xfrm>
                                <a:prstGeom prst="rect">
                                  <a:avLst/>
                                </a:prstGeom>
                                <a:noFill/>
                                <a:ln w="9525">
                                  <a:noFill/>
                                  <a:miter lim="800000"/>
                                  <a:headEnd/>
                                  <a:tailEnd/>
                                </a:ln>
                              </pic:spPr>
                            </pic:pic>
                          </a:graphicData>
                        </a:graphic>
                      </wp:inline>
                    </w:drawing>
                  </w:r>
                </w:p>
              </w:tc>
            </w:tr>
            <w:tr w:rsidR="00344899">
              <w:trPr>
                <w:tblCellSpacing w:w="15" w:type="dxa"/>
              </w:trPr>
              <w:tc>
                <w:tcPr>
                  <w:tcW w:w="0" w:type="auto"/>
                  <w:tcMar>
                    <w:top w:w="15" w:type="dxa"/>
                    <w:left w:w="15" w:type="dxa"/>
                    <w:bottom w:w="15" w:type="dxa"/>
                    <w:right w:w="15" w:type="dxa"/>
                  </w:tcMar>
                  <w:vAlign w:val="center"/>
                </w:tcPr>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碧桂园，万科又合伙了？ 房企2.0时代正在做实</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中国企业报 2015-05-25</w:t>
                        </w:r>
                        <w:r>
                          <w:rPr>
                            <w:rFonts w:ascii="微软雅黑" w:eastAsia="微软雅黑" w:hAnsi="微软雅黑" w:hint="eastAsia"/>
                            <w:kern w:val="2"/>
                            <w:sz w:val="20"/>
                            <w:szCs w:val="20"/>
                          </w:rPr>
                          <w:br/>
                          <w:t xml:space="preserve">继万科、万达正式确认战略合作关系后，同是千亿级房企的碧桂园突然发布“不扯蛋，周一见”的消息，在众房企“强强联合成风潮”的现阶段，二“万”刚合作，碧桂园就有动作，难免让人浮想联翩。相较于万科“单纯性”地走访碧桂园，老牌国企华远地产(600743,股吧)则“动真格”，在“网络情人节”5月20日与360牵手成功。 </w:t>
                        </w:r>
                      </w:p>
                    </w:tc>
                  </w:tr>
                </w:tbl>
                <w:p w:rsidR="00344899" w:rsidRDefault="00344899">
                  <w:pPr>
                    <w:spacing w:line="375" w:lineRule="atLeast"/>
                    <w:rPr>
                      <w:rFonts w:ascii="微软雅黑" w:eastAsia="微软雅黑" w:hAnsi="微软雅黑"/>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华润置地欲谋轻资产转型 资本市场“圈钱”忙</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新浪地产 2015-05-24</w:t>
                        </w:r>
                        <w:r>
                          <w:rPr>
                            <w:rFonts w:ascii="微软雅黑" w:eastAsia="微软雅黑" w:hAnsi="微软雅黑" w:hint="eastAsia"/>
                            <w:kern w:val="2"/>
                            <w:sz w:val="20"/>
                            <w:szCs w:val="20"/>
                          </w:rPr>
                          <w:br/>
                          <w:t xml:space="preserve">截至2014年年底,华润置地共有8个万象城和4个五彩城投入运营,投资物业运营规模逐年扩大,已经运营的持有投资物业建筑面积总计达到341.26万平方米,预计到2017年年底,华润置地在全中国将有40多个商业项目落成投入运营。 从2015年年初至今,华润置地三笔资本融资的资金总额接近200亿港元,但从其基本资金面来看,截至2014年年末,其手头持有的现金还有403亿港元,现金短债比为2.1,并没有迫切的资金需求,在不能有效改善资本结构和负债规模下持续融资,华润置地抓住资本市场窗口“圈钱”的意图显而易见。 </w:t>
                        </w:r>
                      </w:p>
                    </w:tc>
                  </w:tr>
                </w:tbl>
                <w:p w:rsidR="00344899" w:rsidRDefault="00344899">
                  <w:pPr>
                    <w:spacing w:line="375" w:lineRule="atLeast"/>
                    <w:rPr>
                      <w:rFonts w:ascii="微软雅黑" w:eastAsia="微软雅黑" w:hAnsi="微软雅黑" w:hint="eastAsia"/>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绿地香港预计金融公司未来三年交易量破千亿</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观点地产网 2015-05-27</w:t>
                        </w:r>
                        <w:r>
                          <w:rPr>
                            <w:rFonts w:ascii="微软雅黑" w:eastAsia="微软雅黑" w:hAnsi="微软雅黑" w:hint="eastAsia"/>
                            <w:kern w:val="2"/>
                            <w:sz w:val="20"/>
                            <w:szCs w:val="20"/>
                          </w:rPr>
                          <w:br/>
                          <w:t xml:space="preserve">绿地香港5月27日宣布，其互联网金融公司“绿地金服”正式开业，并与平安保险旗下陆金所、众安保险及中国东方资产管理公司签署战略合作协议。 　　绿地金服总裁杨晓冬透露，除了地产宝等房地产金融产品，公司还将经营互联网金融平台，目标为在未来三年平台交易量突破1000亿元人民币，注册用户数突破300万。 </w:t>
                        </w:r>
                      </w:p>
                    </w:tc>
                  </w:tr>
                </w:tbl>
                <w:p w:rsidR="00344899" w:rsidRDefault="00344899">
                  <w:pPr>
                    <w:spacing w:line="375" w:lineRule="atLeast"/>
                    <w:rPr>
                      <w:rFonts w:ascii="微软雅黑" w:eastAsia="微软雅黑" w:hAnsi="微软雅黑" w:hint="eastAsia"/>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首支千亿轨交PPP基金诞生 绿地地铁产业力拓4万亿市场</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中国新闻网 2015-05-26</w:t>
                        </w:r>
                        <w:r>
                          <w:rPr>
                            <w:rFonts w:ascii="微软雅黑" w:eastAsia="微软雅黑" w:hAnsi="微软雅黑" w:hint="eastAsia"/>
                            <w:kern w:val="2"/>
                            <w:sz w:val="20"/>
                            <w:szCs w:val="20"/>
                          </w:rPr>
                          <w:br/>
                          <w:t xml:space="preserve">5月26日，国内首支千亿规模的中国城市轨道交通PPP产业基金(以下简称“轨道交通基金”)签约诞生，由建行总行、绿地集团牵头发起，该基金将抓住我国城市轨道交通建设领域涌现的历史性机遇，当前以绿地集团签约的城市轨道交通项目为主要投资对象。 </w:t>
                        </w:r>
                      </w:p>
                    </w:tc>
                  </w:tr>
                </w:tbl>
                <w:p w:rsidR="00344899" w:rsidRDefault="00344899">
                  <w:pPr>
                    <w:spacing w:line="375" w:lineRule="atLeast"/>
                    <w:rPr>
                      <w:rFonts w:ascii="微软雅黑" w:eastAsia="微软雅黑" w:hAnsi="微软雅黑" w:hint="eastAsia"/>
                      <w:vanish/>
                      <w:kern w:val="2"/>
                      <w:sz w:val="20"/>
                      <w:szCs w:val="20"/>
                    </w:rPr>
                  </w:pPr>
                </w:p>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中房地产和中交地产启动合并 内部整合落地</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信息时报 2015-05-27</w:t>
                        </w:r>
                        <w:r>
                          <w:rPr>
                            <w:rFonts w:ascii="微软雅黑" w:eastAsia="微软雅黑" w:hAnsi="微软雅黑" w:hint="eastAsia"/>
                            <w:kern w:val="2"/>
                            <w:sz w:val="20"/>
                            <w:szCs w:val="20"/>
                          </w:rPr>
                          <w:br/>
                          <w:t xml:space="preserve">据知情人士消息，中房地产和中交地产的合并已开始启动，中交建的思路是让中交地产通过A股上市平台来控制整个地产板块。绿城中国内部人士透露，中交建还准备继续通过要约收购的方式，获取绿城股东手中更多的股权，不断扩大持股份额和话语权。 </w:t>
                        </w:r>
                      </w:p>
                    </w:tc>
                  </w:tr>
                </w:tbl>
                <w:p w:rsidR="00344899" w:rsidRDefault="00344899">
                  <w:pPr>
                    <w:rPr>
                      <w:rFonts w:asciiTheme="minorHAnsi" w:eastAsiaTheme="minorEastAsia" w:hAnsiTheme="minorHAnsi" w:cstheme="minorBidi"/>
                      <w:kern w:val="2"/>
                      <w:sz w:val="21"/>
                      <w:szCs w:val="22"/>
                    </w:rPr>
                  </w:pP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noProof/>
                      <w:kern w:val="2"/>
                      <w:sz w:val="20"/>
                      <w:szCs w:val="20"/>
                    </w:rPr>
                    <w:drawing>
                      <wp:inline distT="0" distB="0" distL="0" distR="0">
                        <wp:extent cx="5829300" cy="838200"/>
                        <wp:effectExtent l="19050" t="0" r="0" b="0"/>
                        <wp:docPr id="51" name="图片 6" descr="http://www.starhousechina.com/M/img/工商快报/前线快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arhousechina.com/M/img/工商快报/前线快报.png"/>
                                <pic:cNvPicPr>
                                  <a:picLocks noChangeAspect="1" noChangeArrowheads="1"/>
                                </pic:cNvPicPr>
                              </pic:nvPicPr>
                              <pic:blipFill>
                                <a:blip r:embed="rId11"/>
                                <a:srcRect/>
                                <a:stretch>
                                  <a:fillRect/>
                                </a:stretch>
                              </pic:blipFill>
                              <pic:spPr bwMode="auto">
                                <a:xfrm>
                                  <a:off x="0" y="0"/>
                                  <a:ext cx="5829300" cy="838200"/>
                                </a:xfrm>
                                <a:prstGeom prst="rect">
                                  <a:avLst/>
                                </a:prstGeom>
                                <a:noFill/>
                                <a:ln w="9525">
                                  <a:noFill/>
                                  <a:miter lim="800000"/>
                                  <a:headEnd/>
                                  <a:tailEnd/>
                                </a:ln>
                              </pic:spPr>
                            </pic:pic>
                          </a:graphicData>
                        </a:graphic>
                      </wp:inline>
                    </w:drawing>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noProof/>
                      <w:kern w:val="2"/>
                      <w:sz w:val="20"/>
                      <w:szCs w:val="20"/>
                    </w:rPr>
                    <w:drawing>
                      <wp:inline distT="0" distB="0" distL="0" distR="0">
                        <wp:extent cx="4762500" cy="3771900"/>
                        <wp:effectExtent l="19050" t="0" r="0" b="0"/>
                        <wp:docPr id="50" name="图片 7" descr="http://www.starhousechina.com/M/aspnet_client/工商快报/广州办公21周2015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arhousechina.com/M/aspnet_client/工商快报/广州办公21周20150528.jpg"/>
                                <pic:cNvPicPr>
                                  <a:picLocks noChangeAspect="1" noChangeArrowheads="1"/>
                                </pic:cNvPicPr>
                              </pic:nvPicPr>
                              <pic:blipFill>
                                <a:blip r:embed="rId12"/>
                                <a:srcRect/>
                                <a:stretch>
                                  <a:fillRect/>
                                </a:stretch>
                              </pic:blipFill>
                              <pic:spPr bwMode="auto">
                                <a:xfrm>
                                  <a:off x="0" y="0"/>
                                  <a:ext cx="4762500" cy="3771900"/>
                                </a:xfrm>
                                <a:prstGeom prst="rect">
                                  <a:avLst/>
                                </a:prstGeom>
                                <a:noFill/>
                                <a:ln w="9525">
                                  <a:noFill/>
                                  <a:miter lim="800000"/>
                                  <a:headEnd/>
                                  <a:tailEnd/>
                                </a:ln>
                              </pic:spPr>
                            </pic:pic>
                          </a:graphicData>
                        </a:graphic>
                      </wp:inline>
                    </w:drawing>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noProof/>
                      <w:kern w:val="2"/>
                      <w:sz w:val="20"/>
                      <w:szCs w:val="20"/>
                    </w:rPr>
                    <w:drawing>
                      <wp:inline distT="0" distB="0" distL="0" distR="0">
                        <wp:extent cx="4762500" cy="3962400"/>
                        <wp:effectExtent l="19050" t="0" r="0" b="0"/>
                        <wp:docPr id="49" name="图片 8" descr="http://www.starhousechina.com/M/aspnet_client/工商快报/广州商业21周2015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arhousechina.com/M/aspnet_client/工商快报/广州商业21周20150528.jpg"/>
                                <pic:cNvPicPr>
                                  <a:picLocks noChangeAspect="1" noChangeArrowheads="1"/>
                                </pic:cNvPicPr>
                              </pic:nvPicPr>
                              <pic:blipFill>
                                <a:blip r:embed="rId13"/>
                                <a:srcRect/>
                                <a:stretch>
                                  <a:fillRect/>
                                </a:stretch>
                              </pic:blipFill>
                              <pic:spPr bwMode="auto">
                                <a:xfrm>
                                  <a:off x="0" y="0"/>
                                  <a:ext cx="4762500" cy="3962400"/>
                                </a:xfrm>
                                <a:prstGeom prst="rect">
                                  <a:avLst/>
                                </a:prstGeom>
                                <a:noFill/>
                                <a:ln w="9525">
                                  <a:noFill/>
                                  <a:miter lim="800000"/>
                                  <a:headEnd/>
                                  <a:tailEnd/>
                                </a:ln>
                              </pic:spPr>
                            </pic:pic>
                          </a:graphicData>
                        </a:graphic>
                      </wp:inline>
                    </w:drawing>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2015年4月广州新房办公成交TOP5</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noProof/>
                      <w:kern w:val="2"/>
                      <w:sz w:val="20"/>
                      <w:szCs w:val="20"/>
                    </w:rPr>
                    <w:drawing>
                      <wp:inline distT="0" distB="0" distL="0" distR="0">
                        <wp:extent cx="5753100" cy="1133475"/>
                        <wp:effectExtent l="19050" t="0" r="0" b="0"/>
                        <wp:docPr id="48" name="图片 9" descr="http://www.starhousechina.com/M/aspnet_client/工商快报/广州办公12015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arhousechina.com/M/aspnet_client/工商快报/广州办公120150528.jpg"/>
                                <pic:cNvPicPr>
                                  <a:picLocks noChangeAspect="1" noChangeArrowheads="1"/>
                                </pic:cNvPicPr>
                              </pic:nvPicPr>
                              <pic:blipFill>
                                <a:blip r:embed="rId14"/>
                                <a:srcRect/>
                                <a:stretch>
                                  <a:fillRect/>
                                </a:stretch>
                              </pic:blipFill>
                              <pic:spPr bwMode="auto">
                                <a:xfrm>
                                  <a:off x="0" y="0"/>
                                  <a:ext cx="5753100" cy="1133475"/>
                                </a:xfrm>
                                <a:prstGeom prst="rect">
                                  <a:avLst/>
                                </a:prstGeom>
                                <a:noFill/>
                                <a:ln w="9525">
                                  <a:noFill/>
                                  <a:miter lim="800000"/>
                                  <a:headEnd/>
                                  <a:tailEnd/>
                                </a:ln>
                              </pic:spPr>
                            </pic:pic>
                          </a:graphicData>
                        </a:graphic>
                      </wp:inline>
                    </w:drawing>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2015年4月广州新房商业成交TOP5</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noProof/>
                      <w:kern w:val="2"/>
                      <w:sz w:val="20"/>
                      <w:szCs w:val="20"/>
                    </w:rPr>
                    <w:drawing>
                      <wp:inline distT="0" distB="0" distL="0" distR="0">
                        <wp:extent cx="5753100" cy="1133475"/>
                        <wp:effectExtent l="19050" t="0" r="0" b="0"/>
                        <wp:docPr id="47" name="图片 10" descr="http://www.starhousechina.com/M/aspnet_client/工商快报/广州21周商业12015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arhousechina.com/M/aspnet_client/工商快报/广州21周商业120150528.jpg"/>
                                <pic:cNvPicPr>
                                  <a:picLocks noChangeAspect="1" noChangeArrowheads="1"/>
                                </pic:cNvPicPr>
                              </pic:nvPicPr>
                              <pic:blipFill>
                                <a:blip r:embed="rId15"/>
                                <a:srcRect/>
                                <a:stretch>
                                  <a:fillRect/>
                                </a:stretch>
                              </pic:blipFill>
                              <pic:spPr bwMode="auto">
                                <a:xfrm>
                                  <a:off x="0" y="0"/>
                                  <a:ext cx="5753100" cy="1133475"/>
                                </a:xfrm>
                                <a:prstGeom prst="rect">
                                  <a:avLst/>
                                </a:prstGeom>
                                <a:noFill/>
                                <a:ln w="9525">
                                  <a:noFill/>
                                  <a:miter lim="800000"/>
                                  <a:headEnd/>
                                  <a:tailEnd/>
                                </a:ln>
                              </pic:spPr>
                            </pic:pic>
                          </a:graphicData>
                        </a:graphic>
                      </wp:inline>
                    </w:drawing>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noProof/>
                      <w:kern w:val="2"/>
                      <w:sz w:val="20"/>
                      <w:szCs w:val="20"/>
                    </w:rPr>
                    <w:drawing>
                      <wp:inline distT="0" distB="0" distL="0" distR="0">
                        <wp:extent cx="5848350" cy="866775"/>
                        <wp:effectExtent l="19050" t="0" r="0" b="0"/>
                        <wp:docPr id="46" name="图片 11" descr="http://www.starhousechina.com/M/img/工商快报/品牌商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arhousechina.com/M/img/工商快报/品牌商家.png"/>
                                <pic:cNvPicPr>
                                  <a:picLocks noChangeAspect="1" noChangeArrowheads="1"/>
                                </pic:cNvPicPr>
                              </pic:nvPicPr>
                              <pic:blipFill>
                                <a:blip r:embed="rId16"/>
                                <a:srcRect/>
                                <a:stretch>
                                  <a:fillRect/>
                                </a:stretch>
                              </pic:blipFill>
                              <pic:spPr bwMode="auto">
                                <a:xfrm>
                                  <a:off x="0" y="0"/>
                                  <a:ext cx="5848350" cy="866775"/>
                                </a:xfrm>
                                <a:prstGeom prst="rect">
                                  <a:avLst/>
                                </a:prstGeom>
                                <a:noFill/>
                                <a:ln w="9525">
                                  <a:noFill/>
                                  <a:miter lim="800000"/>
                                  <a:headEnd/>
                                  <a:tailEnd/>
                                </a:ln>
                              </pic:spPr>
                            </pic:pic>
                          </a:graphicData>
                        </a:graphic>
                      </wp:inline>
                    </w:drawing>
                  </w:r>
                </w:p>
              </w:tc>
            </w:tr>
            <w:tr w:rsidR="00344899">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第一太平：未来两年广州新增写字楼80%位于珠江新城</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观点地产网 2015-05-20</w:t>
                        </w:r>
                        <w:r>
                          <w:rPr>
                            <w:rFonts w:ascii="微软雅黑" w:eastAsia="微软雅黑" w:hAnsi="微软雅黑" w:hint="eastAsia"/>
                            <w:kern w:val="2"/>
                            <w:sz w:val="20"/>
                            <w:szCs w:val="20"/>
                          </w:rPr>
                          <w:br/>
                          <w:t xml:space="preserve">今年内将会有大量年度供应量进入市场，总计超过430,000平方米，全部集中在珠江新城。　　 </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高和资本的商业算法 10亿元接盘北京星街坊</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观点地产网 2015-05-14</w:t>
                        </w:r>
                        <w:r>
                          <w:rPr>
                            <w:rFonts w:ascii="微软雅黑" w:eastAsia="微软雅黑" w:hAnsi="微软雅黑" w:hint="eastAsia"/>
                            <w:kern w:val="2"/>
                            <w:sz w:val="20"/>
                            <w:szCs w:val="20"/>
                          </w:rPr>
                          <w:br/>
                          <w:t xml:space="preserve">改造后最直接的效果是提升了租金。据其估算，旧楼改造最少可以将租金提升30%。 </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高纬环球：深圳甲级写字楼租金涨幅明显 产业园区备受关注</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观点地产网 2015-05-14</w:t>
                        </w:r>
                        <w:r>
                          <w:rPr>
                            <w:rFonts w:ascii="微软雅黑" w:eastAsia="微软雅黑" w:hAnsi="微软雅黑" w:hint="eastAsia"/>
                            <w:kern w:val="2"/>
                            <w:sz w:val="20"/>
                            <w:szCs w:val="20"/>
                          </w:rPr>
                          <w:br/>
                          <w:t xml:space="preserve">租金在第二季度有望持续上涨，并将于今年下半年预计走势持平。深圳市甲级写字楼存量相对较少，且第二季度预计无新供应入市。 </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华纳与梦工厂首秀 全球最大主题公园珠海“叫板”迪士尼？</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观点地产网 2015-05-04</w:t>
                        </w:r>
                        <w:r>
                          <w:rPr>
                            <w:rFonts w:ascii="微软雅黑" w:eastAsia="微软雅黑" w:hAnsi="微软雅黑" w:hint="eastAsia"/>
                            <w:kern w:val="2"/>
                            <w:sz w:val="20"/>
                            <w:szCs w:val="20"/>
                          </w:rPr>
                          <w:br/>
                          <w:t xml:space="preserve">后续在宣传上应该加大，一旦获得了儿童群体的认可，那么后续的项目竞争优势就能够得到保持。 </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绿地联手洲际在洛杉矶项目开发商务酒店</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观点地产网 2015-05-15</w:t>
                        </w:r>
                        <w:r>
                          <w:rPr>
                            <w:rFonts w:ascii="微软雅黑" w:eastAsia="微软雅黑" w:hAnsi="微软雅黑" w:hint="eastAsia"/>
                            <w:kern w:val="2"/>
                            <w:sz w:val="20"/>
                            <w:szCs w:val="20"/>
                          </w:rPr>
                          <w:br/>
                          <w:t xml:space="preserve">据了解，绿地英迪格酒店定位为拥有约330间客房的四星级商务会议酒店，而洛杉矶绿地中心项目是由绿地集团投资10亿美元开发的一个地标项目。 </w:t>
                        </w:r>
                      </w:p>
                    </w:tc>
                  </w:tr>
                </w:tbl>
                <w:p w:rsidR="00344899" w:rsidRDefault="00344899">
                  <w:pPr>
                    <w:rPr>
                      <w:rFonts w:asciiTheme="minorHAnsi" w:eastAsiaTheme="minorEastAsia" w:hAnsiTheme="minorHAnsi" w:cstheme="minorBidi"/>
                      <w:kern w:val="2"/>
                      <w:sz w:val="21"/>
                      <w:szCs w:val="22"/>
                    </w:rPr>
                  </w:pP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广州写字楼</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noProof/>
                      <w:kern w:val="2"/>
                      <w:sz w:val="20"/>
                      <w:szCs w:val="20"/>
                    </w:rPr>
                    <w:drawing>
                      <wp:inline distT="0" distB="0" distL="0" distR="0">
                        <wp:extent cx="5819775" cy="4533900"/>
                        <wp:effectExtent l="19050" t="0" r="9525" b="0"/>
                        <wp:docPr id="45" name="图片 12" descr="http://www.starhousechina.com/M/aspnet_client/工商快报/广州写字楼西塔2015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arhousechina.com/M/aspnet_client/工商快报/广州写字楼西塔20150528.jpg"/>
                                <pic:cNvPicPr>
                                  <a:picLocks noChangeAspect="1" noChangeArrowheads="1"/>
                                </pic:cNvPicPr>
                              </pic:nvPicPr>
                              <pic:blipFill>
                                <a:blip r:embed="rId17"/>
                                <a:srcRect/>
                                <a:stretch>
                                  <a:fillRect/>
                                </a:stretch>
                              </pic:blipFill>
                              <pic:spPr bwMode="auto">
                                <a:xfrm>
                                  <a:off x="0" y="0"/>
                                  <a:ext cx="5819775" cy="4533900"/>
                                </a:xfrm>
                                <a:prstGeom prst="rect">
                                  <a:avLst/>
                                </a:prstGeom>
                                <a:noFill/>
                                <a:ln w="9525">
                                  <a:noFill/>
                                  <a:miter lim="800000"/>
                                  <a:headEnd/>
                                  <a:tailEnd/>
                                </a:ln>
                              </pic:spPr>
                            </pic:pic>
                          </a:graphicData>
                        </a:graphic>
                      </wp:inline>
                    </w:drawing>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noProof/>
                      <w:kern w:val="2"/>
                      <w:sz w:val="20"/>
                      <w:szCs w:val="20"/>
                    </w:rPr>
                    <w:drawing>
                      <wp:inline distT="0" distB="0" distL="0" distR="0">
                        <wp:extent cx="5857875" cy="800100"/>
                        <wp:effectExtent l="19050" t="0" r="9525" b="0"/>
                        <wp:docPr id="44" name="图片 13" descr="http://www.starhousechina.com/M/img/工商快报/境外关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arhousechina.com/M/img/工商快报/境外关注.png"/>
                                <pic:cNvPicPr>
                                  <a:picLocks noChangeAspect="1" noChangeArrowheads="1"/>
                                </pic:cNvPicPr>
                              </pic:nvPicPr>
                              <pic:blipFill>
                                <a:blip r:embed="rId18"/>
                                <a:srcRect/>
                                <a:stretch>
                                  <a:fillRect/>
                                </a:stretch>
                              </pic:blipFill>
                              <pic:spPr bwMode="auto">
                                <a:xfrm>
                                  <a:off x="0" y="0"/>
                                  <a:ext cx="5857875" cy="800100"/>
                                </a:xfrm>
                                <a:prstGeom prst="rect">
                                  <a:avLst/>
                                </a:prstGeom>
                                <a:noFill/>
                                <a:ln w="9525">
                                  <a:noFill/>
                                  <a:miter lim="800000"/>
                                  <a:headEnd/>
                                  <a:tailEnd/>
                                </a:ln>
                              </pic:spPr>
                            </pic:pic>
                          </a:graphicData>
                        </a:graphic>
                      </wp:inline>
                    </w:drawing>
                  </w:r>
                </w:p>
              </w:tc>
            </w:tr>
            <w:tr w:rsidR="00344899">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tblPr>
                  <w:tblGrid>
                    <w:gridCol w:w="9360"/>
                  </w:tblGrid>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博华太平洋租赁塞班岛地块兴建酒店及赌场</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观点地产网 2015-05-26</w:t>
                        </w:r>
                        <w:r>
                          <w:rPr>
                            <w:rFonts w:ascii="微软雅黑" w:eastAsia="微软雅黑" w:hAnsi="微软雅黑" w:hint="eastAsia"/>
                            <w:kern w:val="2"/>
                            <w:sz w:val="20"/>
                            <w:szCs w:val="20"/>
                          </w:rPr>
                          <w:br/>
                          <w:t xml:space="preserve">北马里亚纳塞班岛Garapan地块连同毗邻地块总占地约5.9万平方米，预期于2015年第3季度开始兴建市内两个酒店一个赌场共计约13万平方米，六个月完工。 </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伦敦商业地产投资活跃 未来三四年租金将持续上涨</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地产中国网综合 2015-05-19</w:t>
                        </w:r>
                        <w:r>
                          <w:rPr>
                            <w:rFonts w:ascii="微软雅黑" w:eastAsia="微软雅黑" w:hAnsi="微软雅黑" w:hint="eastAsia"/>
                            <w:kern w:val="2"/>
                            <w:sz w:val="20"/>
                            <w:szCs w:val="20"/>
                          </w:rPr>
                          <w:br/>
                          <w:t xml:space="preserve">国际房地产顾问公司高纬环球近日发布的调查数据显示，2015年第一季度伦敦投资额达42.6亿英镑，成为开年投资活动最强劲的季度之一，仅略低于2014年第一季度创纪录的43.1亿英镑。 </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伦敦写字楼租金膺环球排名首位</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新华网 2015-05-26</w:t>
                        </w:r>
                        <w:r>
                          <w:rPr>
                            <w:rFonts w:ascii="微软雅黑" w:eastAsia="微软雅黑" w:hAnsi="微软雅黑" w:hint="eastAsia"/>
                            <w:kern w:val="2"/>
                            <w:sz w:val="20"/>
                            <w:szCs w:val="20"/>
                          </w:rPr>
                          <w:br/>
                          <w:t xml:space="preserve">2015年5月26日，伦敦：全球领先的房地产服务营运商DTZ戴德梁行今天发表最新一期《全球写字楼租务开支年度报告》（Global Office Thermometer），指出伦敦（西区）蝉联全球写字楼市场租务开支之首，在当地租用一个工作间的年度开支达到29,340美元，较第二位的纽约多出接近三分之一。 </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rPr>
                            <w:rFonts w:ascii="微软雅黑" w:eastAsia="微软雅黑" w:hAnsi="微软雅黑"/>
                            <w:b/>
                            <w:bCs/>
                            <w:color w:val="800000"/>
                            <w:kern w:val="2"/>
                            <w:sz w:val="21"/>
                            <w:szCs w:val="21"/>
                          </w:rPr>
                        </w:pPr>
                        <w:r>
                          <w:rPr>
                            <w:rFonts w:ascii="微软雅黑" w:eastAsia="微软雅黑" w:hAnsi="微软雅黑" w:hint="eastAsia"/>
                            <w:b/>
                            <w:bCs/>
                            <w:color w:val="800000"/>
                            <w:kern w:val="2"/>
                            <w:sz w:val="21"/>
                            <w:szCs w:val="21"/>
                          </w:rPr>
                          <w:t>文华东方伙沙特财团1.3亿欧元购马德里酒店</w:t>
                        </w:r>
                      </w:p>
                    </w:tc>
                  </w:tr>
                  <w:tr w:rsidR="00344899">
                    <w:trPr>
                      <w:tblCellSpacing w:w="15" w:type="dxa"/>
                    </w:trPr>
                    <w:tc>
                      <w:tcPr>
                        <w:tcW w:w="0" w:type="auto"/>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观点地产网 2015-05-26</w:t>
                        </w:r>
                        <w:r>
                          <w:rPr>
                            <w:rFonts w:ascii="微软雅黑" w:eastAsia="微软雅黑" w:hAnsi="微软雅黑" w:hint="eastAsia"/>
                            <w:kern w:val="2"/>
                            <w:sz w:val="20"/>
                            <w:szCs w:val="20"/>
                          </w:rPr>
                          <w:br/>
                          <w:t xml:space="preserve">5月25日，文华东方国际有限公司宣布与沙特阿拉伯跨国集团The Olayan Group合资，以1.3亿欧元(约合8.86亿元人民币)收购位于马德里的HotelRitz丽兹酒店。 </w:t>
                        </w:r>
                      </w:p>
                    </w:tc>
                  </w:tr>
                </w:tbl>
                <w:p w:rsidR="00344899" w:rsidRDefault="00344899">
                  <w:pPr>
                    <w:rPr>
                      <w:rFonts w:asciiTheme="minorHAnsi" w:eastAsiaTheme="minorEastAsia" w:hAnsiTheme="minorHAnsi" w:cstheme="minorBidi"/>
                      <w:kern w:val="2"/>
                      <w:sz w:val="21"/>
                      <w:szCs w:val="22"/>
                    </w:rPr>
                  </w:pPr>
                </w:p>
              </w:tc>
            </w:tr>
          </w:tbl>
          <w:p w:rsidR="00344899" w:rsidRDefault="00344899">
            <w:pPr>
              <w:rPr>
                <w:rFonts w:asciiTheme="minorHAnsi" w:eastAsiaTheme="minorEastAsia" w:hAnsiTheme="minorHAnsi" w:cstheme="minorBidi"/>
                <w:kern w:val="2"/>
                <w:sz w:val="21"/>
                <w:szCs w:val="22"/>
              </w:rPr>
            </w:pPr>
          </w:p>
        </w:tc>
        <w:tc>
          <w:tcPr>
            <w:tcW w:w="0" w:type="auto"/>
            <w:tcBorders>
              <w:top w:val="nil"/>
              <w:left w:val="nil"/>
              <w:bottom w:val="nil"/>
              <w:right w:val="nil"/>
            </w:tcBorders>
            <w:shd w:val="clear" w:color="auto" w:fill="F2EDE9"/>
            <w:tcMar>
              <w:top w:w="15" w:type="dxa"/>
              <w:left w:w="300" w:type="dxa"/>
              <w:bottom w:w="15" w:type="dxa"/>
              <w:right w:w="15" w:type="dxa"/>
            </w:tcMar>
            <w:hideMark/>
          </w:tcPr>
          <w:tbl>
            <w:tblPr>
              <w:tblW w:w="0" w:type="auto"/>
              <w:tblCellSpacing w:w="15" w:type="dxa"/>
              <w:tblLook w:val="04A0"/>
            </w:tblPr>
            <w:tblGrid>
              <w:gridCol w:w="5205"/>
            </w:tblGrid>
            <w:tr w:rsidR="00344899">
              <w:trPr>
                <w:tblCellSpacing w:w="15" w:type="dxa"/>
              </w:trPr>
              <w:tc>
                <w:tcPr>
                  <w:tcW w:w="5550" w:type="dxa"/>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18"/>
                      <w:szCs w:val="18"/>
                    </w:rPr>
                  </w:pPr>
                  <w:r>
                    <w:rPr>
                      <w:rFonts w:ascii="微软雅黑" w:eastAsia="微软雅黑" w:hAnsi="微软雅黑"/>
                      <w:noProof/>
                      <w:kern w:val="2"/>
                      <w:sz w:val="18"/>
                      <w:szCs w:val="18"/>
                    </w:rPr>
                    <w:drawing>
                      <wp:inline distT="0" distB="0" distL="0" distR="0">
                        <wp:extent cx="2381250" cy="895350"/>
                        <wp:effectExtent l="19050" t="0" r="0" b="0"/>
                        <wp:docPr id="43" name="图片 14" descr="http://www.starhousechina.com/M/img/工商快报/关于华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arhousechina.com/M/img/工商快报/关于华房.png"/>
                                <pic:cNvPicPr>
                                  <a:picLocks noChangeAspect="1" noChangeArrowheads="1"/>
                                </pic:cNvPicPr>
                              </pic:nvPicPr>
                              <pic:blipFill>
                                <a:blip r:embed="rId19"/>
                                <a:srcRect/>
                                <a:stretch>
                                  <a:fillRect/>
                                </a:stretch>
                              </pic:blipFill>
                              <pic:spPr bwMode="auto">
                                <a:xfrm>
                                  <a:off x="0" y="0"/>
                                  <a:ext cx="2381250" cy="895350"/>
                                </a:xfrm>
                                <a:prstGeom prst="rect">
                                  <a:avLst/>
                                </a:prstGeom>
                                <a:noFill/>
                                <a:ln w="9525">
                                  <a:noFill/>
                                  <a:miter lim="800000"/>
                                  <a:headEnd/>
                                  <a:tailEnd/>
                                </a:ln>
                              </pic:spPr>
                            </pic:pic>
                          </a:graphicData>
                        </a:graphic>
                      </wp:inline>
                    </w:drawing>
                  </w:r>
                </w:p>
              </w:tc>
            </w:tr>
            <w:tr w:rsidR="00344899">
              <w:trPr>
                <w:tblCellSpacing w:w="15" w:type="dxa"/>
              </w:trPr>
              <w:tc>
                <w:tcPr>
                  <w:tcW w:w="5550" w:type="dxa"/>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18"/>
                      <w:szCs w:val="18"/>
                    </w:rPr>
                  </w:pPr>
                  <w:r>
                    <w:rPr>
                      <w:rFonts w:ascii="微软雅黑" w:eastAsia="微软雅黑" w:hAnsi="微软雅黑" w:hint="eastAsia"/>
                      <w:kern w:val="2"/>
                      <w:sz w:val="18"/>
                      <w:szCs w:val="18"/>
                    </w:rPr>
                    <w:t>华房数据技术有限公司前身为世联数据事业部，1999年成立于深圳，2007年注册专业数据公司，现为世联旗下唯一数据品牌，也是世联中国成员之一。现已在北京、天津、青岛、西安、上海、杭州、南京、广州、东莞、佛山、昆明等地设立了分部。</w:t>
                  </w:r>
                  <w:r>
                    <w:rPr>
                      <w:rFonts w:ascii="微软雅黑" w:eastAsia="微软雅黑" w:hAnsi="微软雅黑" w:hint="eastAsia"/>
                      <w:kern w:val="2"/>
                      <w:sz w:val="18"/>
                      <w:szCs w:val="18"/>
                    </w:rPr>
                    <w:br/>
                  </w:r>
                  <w:r>
                    <w:rPr>
                      <w:rFonts w:ascii="微软雅黑" w:eastAsia="微软雅黑" w:hAnsi="微软雅黑" w:hint="eastAsia"/>
                      <w:kern w:val="2"/>
                      <w:sz w:val="18"/>
                      <w:szCs w:val="18"/>
                    </w:rPr>
                    <w:br/>
                    <w:t xml:space="preserve">华房数据整合世联平台资源，充分利用代理、评估、金融等多渠道数据源资源。以房地产物业每个房号的交易为数据颗粒，覆盖土地、新房、二手房的完整链条。华房数据致力住宅、工商的分类真实数据的采集，提供专业的数据分析服务，帮助客户准确把握房地产机会，防控投资风险，为客户创造价值。 </w:t>
                  </w:r>
                </w:p>
              </w:tc>
            </w:tr>
            <w:tr w:rsidR="00344899">
              <w:trPr>
                <w:tblCellSpacing w:w="15" w:type="dxa"/>
              </w:trPr>
              <w:tc>
                <w:tcPr>
                  <w:tcW w:w="5550" w:type="dxa"/>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18"/>
                      <w:szCs w:val="18"/>
                    </w:rPr>
                  </w:pPr>
                  <w:r>
                    <w:rPr>
                      <w:rFonts w:ascii="微软雅黑" w:eastAsia="微软雅黑" w:hAnsi="微软雅黑"/>
                      <w:noProof/>
                      <w:kern w:val="2"/>
                      <w:sz w:val="18"/>
                      <w:szCs w:val="18"/>
                    </w:rPr>
                    <w:drawing>
                      <wp:inline distT="0" distB="0" distL="0" distR="0">
                        <wp:extent cx="2381250" cy="809625"/>
                        <wp:effectExtent l="0" t="0" r="0" b="0"/>
                        <wp:docPr id="42" name="图片 15" descr="http://www.starhousechina.com/M/img/工商快报/关于工商数据服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arhousechina.com/M/img/工商快报/关于工商数据服务.png"/>
                                <pic:cNvPicPr>
                                  <a:picLocks noChangeAspect="1" noChangeArrowheads="1"/>
                                </pic:cNvPicPr>
                              </pic:nvPicPr>
                              <pic:blipFill>
                                <a:blip r:embed="rId20"/>
                                <a:srcRect/>
                                <a:stretch>
                                  <a:fillRect/>
                                </a:stretch>
                              </pic:blipFill>
                              <pic:spPr bwMode="auto">
                                <a:xfrm>
                                  <a:off x="0" y="0"/>
                                  <a:ext cx="2381250" cy="809625"/>
                                </a:xfrm>
                                <a:prstGeom prst="rect">
                                  <a:avLst/>
                                </a:prstGeom>
                                <a:noFill/>
                                <a:ln w="9525">
                                  <a:noFill/>
                                  <a:miter lim="800000"/>
                                  <a:headEnd/>
                                  <a:tailEnd/>
                                </a:ln>
                              </pic:spPr>
                            </pic:pic>
                          </a:graphicData>
                        </a:graphic>
                      </wp:inline>
                    </w:drawing>
                  </w:r>
                </w:p>
              </w:tc>
            </w:tr>
            <w:tr w:rsidR="00344899">
              <w:trPr>
                <w:tblCellSpacing w:w="15" w:type="dxa"/>
              </w:trPr>
              <w:tc>
                <w:tcPr>
                  <w:tcW w:w="5550" w:type="dxa"/>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18"/>
                      <w:szCs w:val="18"/>
                    </w:rPr>
                  </w:pPr>
                  <w:r>
                    <w:rPr>
                      <w:rFonts w:ascii="微软雅黑" w:eastAsia="微软雅黑" w:hAnsi="微软雅黑" w:hint="eastAsia"/>
                      <w:kern w:val="2"/>
                      <w:sz w:val="18"/>
                      <w:szCs w:val="18"/>
                    </w:rPr>
                    <w:t>深圳华房数据技术有限公司（简称华房数据）工商数据事业部于2007年成立，致力于中国办公楼宇及商业用房数据的收集和研究分析，着眼于了解客户业务、研究市场动态，并与客户建立长期战略伙伴关系，为客户提供最为广泛和全面的工商地产数据及相关咨询服务，以及为客户搭建工商地产交易平台服务，满足客户业务需求，并持续为客户提供基于客户业务发展和管理优化的增值服务。</w:t>
                  </w:r>
                  <w:r>
                    <w:rPr>
                      <w:rFonts w:ascii="微软雅黑" w:eastAsia="微软雅黑" w:hAnsi="微软雅黑" w:hint="eastAsia"/>
                      <w:kern w:val="2"/>
                      <w:sz w:val="18"/>
                      <w:szCs w:val="18"/>
                    </w:rPr>
                    <w:br/>
                  </w:r>
                  <w:r>
                    <w:rPr>
                      <w:rFonts w:ascii="微软雅黑" w:eastAsia="微软雅黑" w:hAnsi="微软雅黑" w:hint="eastAsia"/>
                      <w:kern w:val="2"/>
                      <w:sz w:val="18"/>
                      <w:szCs w:val="18"/>
                    </w:rPr>
                    <w:br/>
                  </w:r>
                  <w:r>
                    <w:rPr>
                      <w:rFonts w:ascii="微软雅黑" w:eastAsia="微软雅黑" w:hAnsi="微软雅黑" w:hint="eastAsia"/>
                      <w:b/>
                      <w:bCs/>
                      <w:kern w:val="2"/>
                      <w:sz w:val="20"/>
                      <w:szCs w:val="20"/>
                    </w:rPr>
                    <w:t>需要更多信息，请联系：</w:t>
                  </w:r>
                  <w:r>
                    <w:rPr>
                      <w:rFonts w:ascii="微软雅黑" w:eastAsia="微软雅黑" w:hAnsi="微软雅黑" w:hint="eastAsia"/>
                      <w:b/>
                      <w:bCs/>
                      <w:kern w:val="2"/>
                      <w:sz w:val="20"/>
                      <w:szCs w:val="20"/>
                    </w:rPr>
                    <w:br/>
                    <w:t>For more information, please contact:</w:t>
                  </w:r>
                  <w:r>
                    <w:rPr>
                      <w:rFonts w:ascii="微软雅黑" w:eastAsia="微软雅黑" w:hAnsi="微软雅黑" w:hint="eastAsia"/>
                      <w:kern w:val="2"/>
                      <w:sz w:val="18"/>
                      <w:szCs w:val="18"/>
                    </w:rPr>
                    <w:t xml:space="preserve"> </w:t>
                  </w:r>
                </w:p>
              </w:tc>
            </w:tr>
            <w:tr w:rsidR="00344899">
              <w:trPr>
                <w:tblCellSpacing w:w="15" w:type="dxa"/>
              </w:trPr>
              <w:tc>
                <w:tcPr>
                  <w:tcW w:w="5550" w:type="dxa"/>
                  <w:tcMar>
                    <w:top w:w="15" w:type="dxa"/>
                    <w:left w:w="600" w:type="dxa"/>
                    <w:bottom w:w="15" w:type="dxa"/>
                    <w:right w:w="15" w:type="dxa"/>
                  </w:tcMar>
                  <w:vAlign w:val="center"/>
                  <w:hideMark/>
                </w:tcPr>
                <w:p w:rsidR="00344899" w:rsidRDefault="00344899">
                  <w:pPr>
                    <w:spacing w:after="240" w:line="375" w:lineRule="atLeast"/>
                    <w:rPr>
                      <w:rFonts w:ascii="微软雅黑" w:eastAsia="微软雅黑" w:hAnsi="微软雅黑"/>
                      <w:kern w:val="2"/>
                      <w:sz w:val="18"/>
                      <w:szCs w:val="18"/>
                    </w:rPr>
                  </w:pPr>
                  <w:r>
                    <w:rPr>
                      <w:rFonts w:ascii="微软雅黑" w:eastAsia="微软雅黑" w:hAnsi="微软雅黑"/>
                      <w:noProof/>
                      <w:kern w:val="2"/>
                      <w:sz w:val="18"/>
                      <w:szCs w:val="18"/>
                    </w:rPr>
                    <w:drawing>
                      <wp:inline distT="0" distB="0" distL="0" distR="0">
                        <wp:extent cx="1143000" cy="1704975"/>
                        <wp:effectExtent l="19050" t="0" r="0" b="0"/>
                        <wp:docPr id="41" name="图片 16" descr="http://www.starhousechina.com/M/img/工商快报/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arhousechina.com/M/img/工商快报/sz.jpg"/>
                                <pic:cNvPicPr>
                                  <a:picLocks noChangeAspect="1" noChangeArrowheads="1"/>
                                </pic:cNvPicPr>
                              </pic:nvPicPr>
                              <pic:blipFill>
                                <a:blip r:embed="rId21"/>
                                <a:srcRect/>
                                <a:stretch>
                                  <a:fillRect/>
                                </a:stretch>
                              </pic:blipFill>
                              <pic:spPr bwMode="auto">
                                <a:xfrm>
                                  <a:off x="0" y="0"/>
                                  <a:ext cx="1143000" cy="1704975"/>
                                </a:xfrm>
                                <a:prstGeom prst="rect">
                                  <a:avLst/>
                                </a:prstGeom>
                                <a:noFill/>
                                <a:ln w="9525">
                                  <a:noFill/>
                                  <a:miter lim="800000"/>
                                  <a:headEnd/>
                                  <a:tailEnd/>
                                </a:ln>
                              </pic:spPr>
                            </pic:pic>
                          </a:graphicData>
                        </a:graphic>
                      </wp:inline>
                    </w:drawing>
                  </w:r>
                  <w:r>
                    <w:rPr>
                      <w:rFonts w:ascii="微软雅黑" w:eastAsia="微软雅黑" w:hAnsi="微软雅黑" w:hint="eastAsia"/>
                      <w:kern w:val="2"/>
                      <w:sz w:val="18"/>
                      <w:szCs w:val="18"/>
                    </w:rPr>
                    <w:br/>
                  </w:r>
                  <w:r>
                    <w:rPr>
                      <w:rFonts w:ascii="微软雅黑" w:eastAsia="微软雅黑" w:hAnsi="微软雅黑" w:hint="eastAsia"/>
                      <w:b/>
                      <w:bCs/>
                      <w:kern w:val="2"/>
                      <w:sz w:val="23"/>
                      <w:szCs w:val="23"/>
                    </w:rPr>
                    <w:t>孙绮 Rachel Sun</w:t>
                  </w:r>
                  <w:r>
                    <w:rPr>
                      <w:rFonts w:ascii="微软雅黑" w:eastAsia="微软雅黑" w:hAnsi="微软雅黑" w:hint="eastAsia"/>
                      <w:kern w:val="2"/>
                      <w:sz w:val="18"/>
                      <w:szCs w:val="18"/>
                    </w:rPr>
                    <w:br/>
                  </w:r>
                  <w:r>
                    <w:rPr>
                      <w:rFonts w:ascii="微软雅黑" w:eastAsia="微软雅黑" w:hAnsi="微软雅黑" w:hint="eastAsia"/>
                      <w:kern w:val="2"/>
                      <w:sz w:val="20"/>
                      <w:szCs w:val="20"/>
                    </w:rPr>
                    <w:t>英国皇家特许测量师 MRICS</w:t>
                  </w:r>
                  <w:r>
                    <w:rPr>
                      <w:rFonts w:ascii="微软雅黑" w:eastAsia="微软雅黑" w:hAnsi="微软雅黑" w:hint="eastAsia"/>
                      <w:kern w:val="2"/>
                      <w:sz w:val="18"/>
                      <w:szCs w:val="18"/>
                    </w:rPr>
                    <w:br/>
                  </w:r>
                  <w:r>
                    <w:rPr>
                      <w:rFonts w:ascii="微软雅黑" w:eastAsia="微软雅黑" w:hAnsi="微软雅黑" w:hint="eastAsia"/>
                      <w:kern w:val="2"/>
                      <w:sz w:val="20"/>
                      <w:szCs w:val="20"/>
                    </w:rPr>
                    <w:t>总经理 General Manager</w:t>
                  </w:r>
                  <w:r>
                    <w:rPr>
                      <w:rFonts w:ascii="微软雅黑" w:eastAsia="微软雅黑" w:hAnsi="微软雅黑" w:hint="eastAsia"/>
                      <w:kern w:val="2"/>
                      <w:sz w:val="18"/>
                      <w:szCs w:val="18"/>
                    </w:rPr>
                    <w:br/>
                  </w:r>
                  <w:r>
                    <w:rPr>
                      <w:rFonts w:ascii="微软雅黑" w:eastAsia="微软雅黑" w:hAnsi="微软雅黑" w:hint="eastAsia"/>
                      <w:kern w:val="2"/>
                      <w:sz w:val="20"/>
                      <w:szCs w:val="20"/>
                    </w:rPr>
                    <w:t>T：+(86 55) 82548095</w:t>
                  </w:r>
                  <w:r>
                    <w:rPr>
                      <w:rFonts w:ascii="微软雅黑" w:eastAsia="微软雅黑" w:hAnsi="微软雅黑" w:hint="eastAsia"/>
                      <w:kern w:val="2"/>
                      <w:sz w:val="18"/>
                      <w:szCs w:val="18"/>
                    </w:rPr>
                    <w:br/>
                  </w:r>
                  <w:r>
                    <w:rPr>
                      <w:rFonts w:ascii="微软雅黑" w:eastAsia="微软雅黑" w:hAnsi="微软雅黑" w:hint="eastAsia"/>
                      <w:kern w:val="2"/>
                      <w:sz w:val="20"/>
                      <w:szCs w:val="20"/>
                    </w:rPr>
                    <w:t>E：</w:t>
                  </w:r>
                  <w:hyperlink w:history="1">
                    <w:r>
                      <w:rPr>
                        <w:rStyle w:val="a3"/>
                        <w:rFonts w:ascii="微软雅黑" w:eastAsia="微软雅黑" w:hAnsi="微软雅黑" w:hint="eastAsia"/>
                        <w:kern w:val="2"/>
                        <w:sz w:val="20"/>
                        <w:szCs w:val="20"/>
                      </w:rPr>
                      <w:t>SunQ@worldunion.com.cn</w:t>
                    </w:r>
                  </w:hyperlink>
                </w:p>
              </w:tc>
            </w:tr>
            <w:tr w:rsidR="00344899">
              <w:trPr>
                <w:tblCellSpacing w:w="15" w:type="dxa"/>
              </w:trPr>
              <w:tc>
                <w:tcPr>
                  <w:tcW w:w="5550" w:type="dxa"/>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18"/>
                      <w:szCs w:val="18"/>
                    </w:rPr>
                  </w:pPr>
                  <w:r>
                    <w:rPr>
                      <w:rFonts w:ascii="微软雅黑" w:eastAsia="微软雅黑" w:hAnsi="微软雅黑"/>
                      <w:noProof/>
                      <w:kern w:val="2"/>
                      <w:sz w:val="18"/>
                      <w:szCs w:val="18"/>
                    </w:rPr>
                    <w:drawing>
                      <wp:inline distT="0" distB="0" distL="0" distR="0">
                        <wp:extent cx="2381250" cy="885825"/>
                        <wp:effectExtent l="0" t="0" r="0" b="0"/>
                        <wp:docPr id="40" name="图片 17" descr="http://www.starhousechina.com/M/img/工商快报/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arhousechina.com/M/img/工商快报/快速链接.png"/>
                                <pic:cNvPicPr>
                                  <a:picLocks noChangeAspect="1" noChangeArrowheads="1"/>
                                </pic:cNvPicPr>
                              </pic:nvPicPr>
                              <pic:blipFill>
                                <a:blip r:embed="rId22"/>
                                <a:srcRect/>
                                <a:stretch>
                                  <a:fillRect/>
                                </a:stretch>
                              </pic:blipFill>
                              <pic:spPr bwMode="auto">
                                <a:xfrm>
                                  <a:off x="0" y="0"/>
                                  <a:ext cx="2381250" cy="885825"/>
                                </a:xfrm>
                                <a:prstGeom prst="rect">
                                  <a:avLst/>
                                </a:prstGeom>
                                <a:noFill/>
                                <a:ln w="9525">
                                  <a:noFill/>
                                  <a:miter lim="800000"/>
                                  <a:headEnd/>
                                  <a:tailEnd/>
                                </a:ln>
                              </pic:spPr>
                            </pic:pic>
                          </a:graphicData>
                        </a:graphic>
                      </wp:inline>
                    </w:drawing>
                  </w:r>
                </w:p>
              </w:tc>
            </w:tr>
            <w:tr w:rsidR="00344899">
              <w:trPr>
                <w:tblCellSpacing w:w="15" w:type="dxa"/>
              </w:trPr>
              <w:tc>
                <w:tcPr>
                  <w:tcW w:w="5550" w:type="dxa"/>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18"/>
                      <w:szCs w:val="18"/>
                    </w:rPr>
                  </w:pPr>
                  <w:r>
                    <w:rPr>
                      <w:rFonts w:ascii="微软雅黑" w:eastAsia="微软雅黑" w:hAnsi="微软雅黑"/>
                      <w:noProof/>
                      <w:color w:val="0000FF"/>
                      <w:kern w:val="2"/>
                      <w:sz w:val="18"/>
                      <w:szCs w:val="18"/>
                    </w:rPr>
                    <w:drawing>
                      <wp:inline distT="0" distB="0" distL="0" distR="0">
                        <wp:extent cx="1543050" cy="314325"/>
                        <wp:effectExtent l="19050" t="0" r="0" b="0"/>
                        <wp:docPr id="39" name="图片 18" descr="http://www.starhousechina.com/M/img/工商快报/访问我们的网站.gif">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arhousechina.com/M/img/工商快报/访问我们的网站.gif"/>
                                <pic:cNvPicPr>
                                  <a:picLocks noChangeAspect="1" noChangeArrowheads="1"/>
                                </pic:cNvPicPr>
                              </pic:nvPicPr>
                              <pic:blipFill>
                                <a:blip r:embed="rId24"/>
                                <a:srcRect/>
                                <a:stretch>
                                  <a:fillRect/>
                                </a:stretch>
                              </pic:blipFill>
                              <pic:spPr bwMode="auto">
                                <a:xfrm>
                                  <a:off x="0" y="0"/>
                                  <a:ext cx="1543050" cy="314325"/>
                                </a:xfrm>
                                <a:prstGeom prst="rect">
                                  <a:avLst/>
                                </a:prstGeom>
                                <a:noFill/>
                                <a:ln w="9525">
                                  <a:noFill/>
                                  <a:miter lim="800000"/>
                                  <a:headEnd/>
                                  <a:tailEnd/>
                                </a:ln>
                              </pic:spPr>
                            </pic:pic>
                          </a:graphicData>
                        </a:graphic>
                      </wp:inline>
                    </w:drawing>
                  </w:r>
                </w:p>
              </w:tc>
            </w:tr>
            <w:tr w:rsidR="00344899">
              <w:trPr>
                <w:tblCellSpacing w:w="15" w:type="dxa"/>
              </w:trPr>
              <w:tc>
                <w:tcPr>
                  <w:tcW w:w="5550" w:type="dxa"/>
                  <w:tcMar>
                    <w:top w:w="15" w:type="dxa"/>
                    <w:left w:w="15" w:type="dxa"/>
                    <w:bottom w:w="15" w:type="dxa"/>
                    <w:right w:w="15" w:type="dxa"/>
                  </w:tcMar>
                  <w:vAlign w:val="center"/>
                  <w:hideMark/>
                </w:tcPr>
                <w:p w:rsidR="00344899" w:rsidRDefault="00344899">
                  <w:pPr>
                    <w:spacing w:line="375" w:lineRule="atLeast"/>
                    <w:rPr>
                      <w:rFonts w:ascii="微软雅黑" w:eastAsia="微软雅黑" w:hAnsi="微软雅黑"/>
                      <w:kern w:val="2"/>
                      <w:sz w:val="18"/>
                      <w:szCs w:val="18"/>
                    </w:rPr>
                  </w:pPr>
                  <w:r>
                    <w:rPr>
                      <w:rFonts w:ascii="微软雅黑" w:eastAsia="微软雅黑" w:hAnsi="微软雅黑"/>
                      <w:noProof/>
                      <w:color w:val="0000FF"/>
                      <w:kern w:val="2"/>
                      <w:sz w:val="18"/>
                      <w:szCs w:val="18"/>
                    </w:rPr>
                    <w:drawing>
                      <wp:inline distT="0" distB="0" distL="0" distR="0">
                        <wp:extent cx="1543050" cy="314325"/>
                        <wp:effectExtent l="19050" t="0" r="0" b="0"/>
                        <wp:docPr id="38" name="图片 19" descr="http://www.starhousechina.com/M/img/工商快报/发邮件给我们.gif">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arhousechina.com/M/img/工商快报/发邮件给我们.gif"/>
                                <pic:cNvPicPr>
                                  <a:picLocks noChangeAspect="1" noChangeArrowheads="1"/>
                                </pic:cNvPicPr>
                              </pic:nvPicPr>
                              <pic:blipFill>
                                <a:blip r:embed="rId26"/>
                                <a:srcRect/>
                                <a:stretch>
                                  <a:fillRect/>
                                </a:stretch>
                              </pic:blipFill>
                              <pic:spPr bwMode="auto">
                                <a:xfrm>
                                  <a:off x="0" y="0"/>
                                  <a:ext cx="1543050" cy="314325"/>
                                </a:xfrm>
                                <a:prstGeom prst="rect">
                                  <a:avLst/>
                                </a:prstGeom>
                                <a:noFill/>
                                <a:ln w="9525">
                                  <a:noFill/>
                                  <a:miter lim="800000"/>
                                  <a:headEnd/>
                                  <a:tailEnd/>
                                </a:ln>
                              </pic:spPr>
                            </pic:pic>
                          </a:graphicData>
                        </a:graphic>
                      </wp:inline>
                    </w:drawing>
                  </w:r>
                </w:p>
              </w:tc>
            </w:tr>
            <w:tr w:rsidR="00344899">
              <w:trPr>
                <w:tblCellSpacing w:w="15" w:type="dxa"/>
              </w:trPr>
              <w:tc>
                <w:tcPr>
                  <w:tcW w:w="5550" w:type="dxa"/>
                  <w:tcMar>
                    <w:top w:w="15" w:type="dxa"/>
                    <w:left w:w="15" w:type="dxa"/>
                    <w:bottom w:w="15" w:type="dxa"/>
                    <w:right w:w="15" w:type="dxa"/>
                  </w:tcMar>
                  <w:vAlign w:val="center"/>
                  <w:hideMark/>
                </w:tcPr>
                <w:p w:rsidR="00344899" w:rsidRDefault="00344899">
                  <w:pPr>
                    <w:spacing w:after="240" w:line="375" w:lineRule="atLeast"/>
                    <w:rPr>
                      <w:rFonts w:ascii="微软雅黑" w:eastAsia="微软雅黑" w:hAnsi="微软雅黑"/>
                      <w:kern w:val="2"/>
                      <w:sz w:val="18"/>
                      <w:szCs w:val="18"/>
                    </w:rPr>
                  </w:pPr>
                  <w:r>
                    <w:rPr>
                      <w:rFonts w:ascii="微软雅黑" w:eastAsia="微软雅黑" w:hAnsi="微软雅黑"/>
                      <w:noProof/>
                      <w:kern w:val="2"/>
                      <w:sz w:val="18"/>
                      <w:szCs w:val="18"/>
                    </w:rPr>
                    <w:drawing>
                      <wp:inline distT="0" distB="0" distL="0" distR="0">
                        <wp:extent cx="1047750" cy="295275"/>
                        <wp:effectExtent l="19050" t="0" r="0" b="0"/>
                        <wp:docPr id="37" name="图片 20" descr="http://www.starhousechina.com/M/img/工商快报/关注我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arhousechina.com/M/img/工商快报/关注我们.png"/>
                                <pic:cNvPicPr>
                                  <a:picLocks noChangeAspect="1" noChangeArrowheads="1"/>
                                </pic:cNvPicPr>
                              </pic:nvPicPr>
                              <pic:blipFill>
                                <a:blip r:embed="rId27"/>
                                <a:srcRect/>
                                <a:stretch>
                                  <a:fillRect/>
                                </a:stretch>
                              </pic:blipFill>
                              <pic:spPr bwMode="auto">
                                <a:xfrm>
                                  <a:off x="0" y="0"/>
                                  <a:ext cx="1047750" cy="295275"/>
                                </a:xfrm>
                                <a:prstGeom prst="rect">
                                  <a:avLst/>
                                </a:prstGeom>
                                <a:noFill/>
                                <a:ln w="9525">
                                  <a:noFill/>
                                  <a:miter lim="800000"/>
                                  <a:headEnd/>
                                  <a:tailEnd/>
                                </a:ln>
                              </pic:spPr>
                            </pic:pic>
                          </a:graphicData>
                        </a:graphic>
                      </wp:inline>
                    </w:drawing>
                  </w:r>
                </w:p>
              </w:tc>
            </w:tr>
            <w:tr w:rsidR="00344899">
              <w:trPr>
                <w:tblCellSpacing w:w="15" w:type="dxa"/>
              </w:trPr>
              <w:tc>
                <w:tcPr>
                  <w:tcW w:w="5550" w:type="dxa"/>
                  <w:tcMar>
                    <w:top w:w="15" w:type="dxa"/>
                    <w:left w:w="600" w:type="dxa"/>
                    <w:bottom w:w="15" w:type="dxa"/>
                    <w:right w:w="15" w:type="dxa"/>
                  </w:tcMar>
                  <w:vAlign w:val="center"/>
                  <w:hideMark/>
                </w:tcPr>
                <w:p w:rsidR="00344899" w:rsidRDefault="00344899">
                  <w:pPr>
                    <w:spacing w:after="240" w:line="375" w:lineRule="atLeast"/>
                    <w:rPr>
                      <w:rFonts w:ascii="微软雅黑" w:eastAsia="微软雅黑" w:hAnsi="微软雅黑"/>
                      <w:kern w:val="2"/>
                      <w:sz w:val="18"/>
                      <w:szCs w:val="18"/>
                    </w:rPr>
                  </w:pPr>
                  <w:r>
                    <w:rPr>
                      <w:rFonts w:ascii="微软雅黑" w:eastAsia="微软雅黑" w:hAnsi="微软雅黑"/>
                      <w:noProof/>
                      <w:kern w:val="2"/>
                      <w:sz w:val="18"/>
                      <w:szCs w:val="18"/>
                    </w:rPr>
                    <w:drawing>
                      <wp:inline distT="0" distB="0" distL="0" distR="0">
                        <wp:extent cx="1562100" cy="1562100"/>
                        <wp:effectExtent l="19050" t="0" r="0" b="0"/>
                        <wp:docPr id="36" name="图片 21" descr="http://www.starhousechina.com/M/img/工商快报/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arhousechina.com/M/img/工商快报/Rcode.jpg"/>
                                <pic:cNvPicPr>
                                  <a:picLocks noChangeAspect="1" noChangeArrowheads="1"/>
                                </pic:cNvPicPr>
                              </pic:nvPicPr>
                              <pic:blipFill>
                                <a:blip r:embed="rId28"/>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tc>
            </w:tr>
            <w:tr w:rsidR="00344899">
              <w:trPr>
                <w:tblCellSpacing w:w="15" w:type="dxa"/>
              </w:trPr>
              <w:tc>
                <w:tcPr>
                  <w:tcW w:w="5550" w:type="dxa"/>
                  <w:tcMar>
                    <w:top w:w="15" w:type="dxa"/>
                    <w:left w:w="15" w:type="dxa"/>
                    <w:bottom w:w="15" w:type="dxa"/>
                    <w:right w:w="15" w:type="dxa"/>
                  </w:tcMar>
                  <w:vAlign w:val="center"/>
                  <w:hideMark/>
                </w:tcPr>
                <w:p w:rsidR="00344899" w:rsidRDefault="00344899">
                  <w:pPr>
                    <w:spacing w:after="240" w:line="375" w:lineRule="atLeast"/>
                    <w:rPr>
                      <w:rFonts w:ascii="微软雅黑" w:eastAsia="微软雅黑" w:hAnsi="微软雅黑"/>
                      <w:kern w:val="2"/>
                      <w:sz w:val="18"/>
                      <w:szCs w:val="18"/>
                    </w:rPr>
                  </w:pPr>
                  <w:r>
                    <w:rPr>
                      <w:rFonts w:ascii="微软雅黑" w:eastAsia="微软雅黑" w:hAnsi="微软雅黑"/>
                      <w:noProof/>
                      <w:kern w:val="2"/>
                      <w:sz w:val="18"/>
                      <w:szCs w:val="18"/>
                    </w:rPr>
                    <w:drawing>
                      <wp:inline distT="0" distB="0" distL="0" distR="0">
                        <wp:extent cx="2381250" cy="838200"/>
                        <wp:effectExtent l="0" t="0" r="0" b="0"/>
                        <wp:docPr id="35" name="图片 22" descr="http://www.starhousechina.com/M/img/工商快报/华房报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arhousechina.com/M/img/工商快报/华房报告.png"/>
                                <pic:cNvPicPr>
                                  <a:picLocks noChangeAspect="1" noChangeArrowheads="1"/>
                                </pic:cNvPicPr>
                              </pic:nvPicPr>
                              <pic:blipFill>
                                <a:blip r:embed="rId29"/>
                                <a:srcRect/>
                                <a:stretch>
                                  <a:fillRect/>
                                </a:stretch>
                              </pic:blipFill>
                              <pic:spPr bwMode="auto">
                                <a:xfrm>
                                  <a:off x="0" y="0"/>
                                  <a:ext cx="2381250" cy="838200"/>
                                </a:xfrm>
                                <a:prstGeom prst="rect">
                                  <a:avLst/>
                                </a:prstGeom>
                                <a:noFill/>
                                <a:ln w="9525">
                                  <a:noFill/>
                                  <a:miter lim="800000"/>
                                  <a:headEnd/>
                                  <a:tailEnd/>
                                </a:ln>
                              </pic:spPr>
                            </pic:pic>
                          </a:graphicData>
                        </a:graphic>
                      </wp:inline>
                    </w:drawing>
                  </w:r>
                </w:p>
              </w:tc>
            </w:tr>
            <w:tr w:rsidR="00344899">
              <w:trPr>
                <w:tblCellSpacing w:w="15" w:type="dxa"/>
              </w:trPr>
              <w:tc>
                <w:tcPr>
                  <w:tcW w:w="5550" w:type="dxa"/>
                  <w:tcMar>
                    <w:top w:w="15" w:type="dxa"/>
                    <w:left w:w="1200" w:type="dxa"/>
                    <w:bottom w:w="15" w:type="dxa"/>
                    <w:right w:w="15" w:type="dxa"/>
                  </w:tcMar>
                  <w:vAlign w:val="center"/>
                  <w:hideMark/>
                </w:tcPr>
                <w:p w:rsidR="00344899" w:rsidRDefault="00344899">
                  <w:pPr>
                    <w:spacing w:after="240" w:line="375" w:lineRule="atLeast"/>
                    <w:rPr>
                      <w:rFonts w:ascii="微软雅黑" w:eastAsia="微软雅黑" w:hAnsi="微软雅黑"/>
                      <w:kern w:val="2"/>
                      <w:sz w:val="18"/>
                      <w:szCs w:val="18"/>
                    </w:rPr>
                  </w:pPr>
                  <w:r>
                    <w:rPr>
                      <w:rFonts w:ascii="微软雅黑" w:eastAsia="微软雅黑" w:hAnsi="微软雅黑"/>
                      <w:noProof/>
                      <w:kern w:val="2"/>
                      <w:sz w:val="18"/>
                      <w:szCs w:val="18"/>
                    </w:rPr>
                    <w:drawing>
                      <wp:inline distT="0" distB="0" distL="0" distR="0">
                        <wp:extent cx="1466850" cy="1152525"/>
                        <wp:effectExtent l="19050" t="0" r="0" b="0"/>
                        <wp:docPr id="34" name="图片 23" descr="http://www.starhousechina.com/M/img/工商快报/rd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arhousechina.com/M/img/工商快报/rdcs.jpg"/>
                                <pic:cNvPicPr>
                                  <a:picLocks noChangeAspect="1" noChangeArrowheads="1"/>
                                </pic:cNvPicPr>
                              </pic:nvPicPr>
                              <pic:blipFill>
                                <a:blip r:embed="rId30"/>
                                <a:srcRect/>
                                <a:stretch>
                                  <a:fillRect/>
                                </a:stretch>
                              </pic:blipFill>
                              <pic:spPr bwMode="auto">
                                <a:xfrm>
                                  <a:off x="0" y="0"/>
                                  <a:ext cx="1466850" cy="1152525"/>
                                </a:xfrm>
                                <a:prstGeom prst="rect">
                                  <a:avLst/>
                                </a:prstGeom>
                                <a:noFill/>
                                <a:ln w="9525">
                                  <a:noFill/>
                                  <a:miter lim="800000"/>
                                  <a:headEnd/>
                                  <a:tailEnd/>
                                </a:ln>
                              </pic:spPr>
                            </pic:pic>
                          </a:graphicData>
                        </a:graphic>
                      </wp:inline>
                    </w:drawing>
                  </w:r>
                  <w:r>
                    <w:rPr>
                      <w:rFonts w:ascii="微软雅黑" w:eastAsia="微软雅黑" w:hAnsi="微软雅黑" w:hint="eastAsia"/>
                      <w:kern w:val="2"/>
                      <w:sz w:val="18"/>
                      <w:szCs w:val="18"/>
                    </w:rPr>
                    <w:br/>
                  </w:r>
                  <w:r>
                    <w:rPr>
                      <w:rFonts w:ascii="微软雅黑" w:eastAsia="微软雅黑" w:hAnsi="微软雅黑" w:hint="eastAsia"/>
                      <w:color w:val="FF0000"/>
                      <w:kern w:val="2"/>
                      <w:sz w:val="18"/>
                      <w:szCs w:val="18"/>
                    </w:rPr>
                    <w:t>热点城市房地产系列月报</w:t>
                  </w:r>
                  <w:r>
                    <w:rPr>
                      <w:rFonts w:ascii="微软雅黑" w:eastAsia="微软雅黑" w:hAnsi="微软雅黑" w:hint="eastAsia"/>
                      <w:kern w:val="2"/>
                      <w:sz w:val="18"/>
                      <w:szCs w:val="18"/>
                    </w:rPr>
                    <w:br/>
                  </w:r>
                  <w:hyperlink r:id="rId31" w:tgtFrame="_blank" w:history="1">
                    <w:r>
                      <w:rPr>
                        <w:rStyle w:val="a3"/>
                        <w:rFonts w:ascii="微软雅黑" w:eastAsia="微软雅黑" w:hAnsi="微软雅黑" w:hint="eastAsia"/>
                        <w:color w:val="000000"/>
                        <w:kern w:val="2"/>
                        <w:sz w:val="18"/>
                        <w:szCs w:val="18"/>
                      </w:rPr>
                      <w:t>《热点城市房地产系列月报》点击阅读</w:t>
                    </w:r>
                  </w:hyperlink>
                </w:p>
              </w:tc>
            </w:tr>
            <w:tr w:rsidR="00344899">
              <w:trPr>
                <w:tblCellSpacing w:w="15" w:type="dxa"/>
              </w:trPr>
              <w:tc>
                <w:tcPr>
                  <w:tcW w:w="5550" w:type="dxa"/>
                  <w:tcMar>
                    <w:top w:w="15" w:type="dxa"/>
                    <w:left w:w="1200" w:type="dxa"/>
                    <w:bottom w:w="15" w:type="dxa"/>
                    <w:right w:w="15" w:type="dxa"/>
                  </w:tcMar>
                  <w:vAlign w:val="center"/>
                  <w:hideMark/>
                </w:tcPr>
                <w:p w:rsidR="00344899" w:rsidRDefault="00344899">
                  <w:pPr>
                    <w:spacing w:after="240" w:line="375" w:lineRule="atLeast"/>
                    <w:rPr>
                      <w:rFonts w:ascii="微软雅黑" w:eastAsia="微软雅黑" w:hAnsi="微软雅黑"/>
                      <w:kern w:val="2"/>
                      <w:sz w:val="18"/>
                      <w:szCs w:val="18"/>
                    </w:rPr>
                  </w:pPr>
                  <w:r>
                    <w:rPr>
                      <w:rFonts w:ascii="微软雅黑" w:eastAsia="微软雅黑" w:hAnsi="微软雅黑"/>
                      <w:noProof/>
                      <w:kern w:val="2"/>
                      <w:sz w:val="18"/>
                      <w:szCs w:val="18"/>
                    </w:rPr>
                    <w:drawing>
                      <wp:inline distT="0" distB="0" distL="0" distR="0">
                        <wp:extent cx="1466850" cy="2133600"/>
                        <wp:effectExtent l="19050" t="0" r="0" b="0"/>
                        <wp:docPr id="33" name="图片 24" descr="http://www.starhousechina.com/M/img/工商快报/qg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arhousechina.com/M/img/工商快报/qgfc.jpg"/>
                                <pic:cNvPicPr>
                                  <a:picLocks noChangeAspect="1" noChangeArrowheads="1"/>
                                </pic:cNvPicPr>
                              </pic:nvPicPr>
                              <pic:blipFill>
                                <a:blip r:embed="rId32"/>
                                <a:srcRect/>
                                <a:stretch>
                                  <a:fillRect/>
                                </a:stretch>
                              </pic:blipFill>
                              <pic:spPr bwMode="auto">
                                <a:xfrm>
                                  <a:off x="0" y="0"/>
                                  <a:ext cx="1466850" cy="2133600"/>
                                </a:xfrm>
                                <a:prstGeom prst="rect">
                                  <a:avLst/>
                                </a:prstGeom>
                                <a:noFill/>
                                <a:ln w="9525">
                                  <a:noFill/>
                                  <a:miter lim="800000"/>
                                  <a:headEnd/>
                                  <a:tailEnd/>
                                </a:ln>
                              </pic:spPr>
                            </pic:pic>
                          </a:graphicData>
                        </a:graphic>
                      </wp:inline>
                    </w:drawing>
                  </w:r>
                  <w:r>
                    <w:rPr>
                      <w:rFonts w:ascii="微软雅黑" w:eastAsia="微软雅黑" w:hAnsi="微软雅黑" w:hint="eastAsia"/>
                      <w:kern w:val="2"/>
                      <w:sz w:val="18"/>
                      <w:szCs w:val="18"/>
                    </w:rPr>
                    <w:br/>
                  </w:r>
                  <w:r>
                    <w:rPr>
                      <w:rFonts w:ascii="微软雅黑" w:eastAsia="微软雅黑" w:hAnsi="微软雅黑" w:hint="eastAsia"/>
                      <w:color w:val="FF0000"/>
                      <w:kern w:val="2"/>
                      <w:sz w:val="18"/>
                      <w:szCs w:val="18"/>
                    </w:rPr>
                    <w:t>全国房地产市场月报</w:t>
                  </w:r>
                  <w:r>
                    <w:rPr>
                      <w:rFonts w:ascii="微软雅黑" w:eastAsia="微软雅黑" w:hAnsi="微软雅黑" w:hint="eastAsia"/>
                      <w:kern w:val="2"/>
                      <w:sz w:val="18"/>
                      <w:szCs w:val="18"/>
                    </w:rPr>
                    <w:br/>
                  </w:r>
                  <w:hyperlink r:id="rId33" w:tgtFrame="_blank" w:history="1">
                    <w:r>
                      <w:rPr>
                        <w:rStyle w:val="a3"/>
                        <w:rFonts w:ascii="微软雅黑" w:eastAsia="微软雅黑" w:hAnsi="微软雅黑" w:hint="eastAsia"/>
                        <w:color w:val="000000"/>
                        <w:kern w:val="2"/>
                        <w:sz w:val="18"/>
                        <w:szCs w:val="18"/>
                      </w:rPr>
                      <w:t>《全国房地产市场月报》点击阅读</w:t>
                    </w:r>
                  </w:hyperlink>
                </w:p>
              </w:tc>
            </w:tr>
            <w:tr w:rsidR="00344899">
              <w:trPr>
                <w:tblCellSpacing w:w="15" w:type="dxa"/>
              </w:trPr>
              <w:tc>
                <w:tcPr>
                  <w:tcW w:w="5550" w:type="dxa"/>
                  <w:tcMar>
                    <w:top w:w="15" w:type="dxa"/>
                    <w:left w:w="1200" w:type="dxa"/>
                    <w:bottom w:w="15" w:type="dxa"/>
                    <w:right w:w="15" w:type="dxa"/>
                  </w:tcMar>
                  <w:vAlign w:val="center"/>
                  <w:hideMark/>
                </w:tcPr>
                <w:p w:rsidR="00344899" w:rsidRDefault="00344899">
                  <w:pPr>
                    <w:spacing w:after="240" w:line="375" w:lineRule="atLeast"/>
                    <w:rPr>
                      <w:rFonts w:ascii="微软雅黑" w:eastAsia="微软雅黑" w:hAnsi="微软雅黑"/>
                      <w:kern w:val="2"/>
                      <w:sz w:val="18"/>
                      <w:szCs w:val="18"/>
                    </w:rPr>
                  </w:pPr>
                  <w:r>
                    <w:rPr>
                      <w:rFonts w:ascii="微软雅黑" w:eastAsia="微软雅黑" w:hAnsi="微软雅黑"/>
                      <w:noProof/>
                      <w:kern w:val="2"/>
                      <w:sz w:val="18"/>
                      <w:szCs w:val="18"/>
                    </w:rPr>
                    <w:drawing>
                      <wp:inline distT="0" distB="0" distL="0" distR="0">
                        <wp:extent cx="1466850" cy="2009775"/>
                        <wp:effectExtent l="19050" t="0" r="0" b="0"/>
                        <wp:docPr id="32" name="图片 25" descr="http://www.starhousechina.com/M/img/工商快报/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arhousechina.com/M/img/工商快报/01.jpg"/>
                                <pic:cNvPicPr>
                                  <a:picLocks noChangeAspect="1" noChangeArrowheads="1"/>
                                </pic:cNvPicPr>
                              </pic:nvPicPr>
                              <pic:blipFill>
                                <a:blip r:embed="rId34"/>
                                <a:srcRect/>
                                <a:stretch>
                                  <a:fillRect/>
                                </a:stretch>
                              </pic:blipFill>
                              <pic:spPr bwMode="auto">
                                <a:xfrm>
                                  <a:off x="0" y="0"/>
                                  <a:ext cx="1466850" cy="2009775"/>
                                </a:xfrm>
                                <a:prstGeom prst="rect">
                                  <a:avLst/>
                                </a:prstGeom>
                                <a:noFill/>
                                <a:ln w="9525">
                                  <a:noFill/>
                                  <a:miter lim="800000"/>
                                  <a:headEnd/>
                                  <a:tailEnd/>
                                </a:ln>
                              </pic:spPr>
                            </pic:pic>
                          </a:graphicData>
                        </a:graphic>
                      </wp:inline>
                    </w:drawing>
                  </w:r>
                  <w:r>
                    <w:rPr>
                      <w:rFonts w:ascii="微软雅黑" w:eastAsia="微软雅黑" w:hAnsi="微软雅黑" w:hint="eastAsia"/>
                      <w:kern w:val="2"/>
                      <w:sz w:val="18"/>
                      <w:szCs w:val="18"/>
                    </w:rPr>
                    <w:br/>
                  </w:r>
                  <w:r>
                    <w:rPr>
                      <w:rFonts w:ascii="微软雅黑" w:eastAsia="微软雅黑" w:hAnsi="微软雅黑"/>
                      <w:noProof/>
                      <w:kern w:val="2"/>
                      <w:sz w:val="18"/>
                      <w:szCs w:val="18"/>
                    </w:rPr>
                    <w:drawing>
                      <wp:inline distT="0" distB="0" distL="0" distR="0">
                        <wp:extent cx="1466850" cy="1743075"/>
                        <wp:effectExtent l="19050" t="0" r="0" b="0"/>
                        <wp:docPr id="31" name="图片 26" descr="http://www.starhousechina.com/M/img/工商快报/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arhousechina.com/M/img/工商快报/02.jpg"/>
                                <pic:cNvPicPr>
                                  <a:picLocks noChangeAspect="1" noChangeArrowheads="1"/>
                                </pic:cNvPicPr>
                              </pic:nvPicPr>
                              <pic:blipFill>
                                <a:blip r:embed="rId35"/>
                                <a:srcRect/>
                                <a:stretch>
                                  <a:fillRect/>
                                </a:stretch>
                              </pic:blipFill>
                              <pic:spPr bwMode="auto">
                                <a:xfrm>
                                  <a:off x="0" y="0"/>
                                  <a:ext cx="1466850" cy="1743075"/>
                                </a:xfrm>
                                <a:prstGeom prst="rect">
                                  <a:avLst/>
                                </a:prstGeom>
                                <a:noFill/>
                                <a:ln w="9525">
                                  <a:noFill/>
                                  <a:miter lim="800000"/>
                                  <a:headEnd/>
                                  <a:tailEnd/>
                                </a:ln>
                              </pic:spPr>
                            </pic:pic>
                          </a:graphicData>
                        </a:graphic>
                      </wp:inline>
                    </w:drawing>
                  </w:r>
                  <w:r>
                    <w:rPr>
                      <w:rFonts w:ascii="微软雅黑" w:eastAsia="微软雅黑" w:hAnsi="微软雅黑" w:hint="eastAsia"/>
                      <w:kern w:val="2"/>
                      <w:sz w:val="18"/>
                      <w:szCs w:val="18"/>
                    </w:rPr>
                    <w:br/>
                  </w:r>
                  <w:r>
                    <w:rPr>
                      <w:rFonts w:ascii="微软雅黑" w:eastAsia="微软雅黑" w:hAnsi="微软雅黑"/>
                      <w:noProof/>
                      <w:kern w:val="2"/>
                      <w:sz w:val="18"/>
                      <w:szCs w:val="18"/>
                    </w:rPr>
                    <w:drawing>
                      <wp:inline distT="0" distB="0" distL="0" distR="0">
                        <wp:extent cx="1466850" cy="1762125"/>
                        <wp:effectExtent l="19050" t="0" r="0" b="0"/>
                        <wp:docPr id="30" name="图片 27" descr="http://www.starhousechina.com/M/img/工商快报/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arhousechina.com/M/img/工商快报/03.jpg"/>
                                <pic:cNvPicPr>
                                  <a:picLocks noChangeAspect="1" noChangeArrowheads="1"/>
                                </pic:cNvPicPr>
                              </pic:nvPicPr>
                              <pic:blipFill>
                                <a:blip r:embed="rId36"/>
                                <a:srcRect/>
                                <a:stretch>
                                  <a:fillRect/>
                                </a:stretch>
                              </pic:blipFill>
                              <pic:spPr bwMode="auto">
                                <a:xfrm>
                                  <a:off x="0" y="0"/>
                                  <a:ext cx="1466850" cy="1762125"/>
                                </a:xfrm>
                                <a:prstGeom prst="rect">
                                  <a:avLst/>
                                </a:prstGeom>
                                <a:noFill/>
                                <a:ln w="9525">
                                  <a:noFill/>
                                  <a:miter lim="800000"/>
                                  <a:headEnd/>
                                  <a:tailEnd/>
                                </a:ln>
                              </pic:spPr>
                            </pic:pic>
                          </a:graphicData>
                        </a:graphic>
                      </wp:inline>
                    </w:drawing>
                  </w:r>
                  <w:r>
                    <w:rPr>
                      <w:rFonts w:ascii="微软雅黑" w:eastAsia="微软雅黑" w:hAnsi="微软雅黑" w:hint="eastAsia"/>
                      <w:kern w:val="2"/>
                      <w:sz w:val="18"/>
                      <w:szCs w:val="18"/>
                    </w:rPr>
                    <w:br/>
                  </w:r>
                  <w:r>
                    <w:rPr>
                      <w:rFonts w:ascii="微软雅黑" w:eastAsia="微软雅黑" w:hAnsi="微软雅黑" w:hint="eastAsia"/>
                      <w:color w:val="FF0000"/>
                      <w:kern w:val="2"/>
                      <w:sz w:val="18"/>
                      <w:szCs w:val="18"/>
                    </w:rPr>
                    <w:t>世联系列出版</w:t>
                  </w:r>
                  <w:r>
                    <w:rPr>
                      <w:rFonts w:ascii="微软雅黑" w:eastAsia="微软雅黑" w:hAnsi="微软雅黑" w:hint="eastAsia"/>
                      <w:kern w:val="2"/>
                      <w:sz w:val="18"/>
                      <w:szCs w:val="18"/>
                    </w:rPr>
                    <w:br/>
                  </w:r>
                  <w:hyperlink r:id="rId37" w:tgtFrame="_blank" w:history="1">
                    <w:r>
                      <w:rPr>
                        <w:rStyle w:val="a3"/>
                        <w:rFonts w:ascii="微软雅黑" w:eastAsia="微软雅黑" w:hAnsi="微软雅黑" w:hint="eastAsia"/>
                        <w:color w:val="000000"/>
                        <w:kern w:val="2"/>
                        <w:sz w:val="18"/>
                        <w:szCs w:val="18"/>
                      </w:rPr>
                      <w:t>《世联系列出版》点击阅读</w:t>
                    </w:r>
                  </w:hyperlink>
                </w:p>
              </w:tc>
            </w:tr>
          </w:tbl>
          <w:p w:rsidR="00344899" w:rsidRDefault="00344899">
            <w:pPr>
              <w:rPr>
                <w:rFonts w:asciiTheme="minorHAnsi" w:eastAsiaTheme="minorEastAsia" w:hAnsiTheme="minorHAnsi" w:cstheme="minorBidi"/>
                <w:kern w:val="2"/>
                <w:sz w:val="21"/>
                <w:szCs w:val="22"/>
              </w:rPr>
            </w:pPr>
          </w:p>
        </w:tc>
      </w:tr>
      <w:tr w:rsidR="00344899" w:rsidTr="00344899">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344899" w:rsidRDefault="00344899">
            <w:pPr>
              <w:rPr>
                <w:rFonts w:asciiTheme="minorHAnsi" w:eastAsiaTheme="minorEastAsia" w:hAnsiTheme="minorHAnsi" w:cstheme="minorBidi"/>
                <w:kern w:val="2"/>
                <w:sz w:val="21"/>
                <w:szCs w:val="22"/>
              </w:rPr>
            </w:pPr>
          </w:p>
        </w:tc>
        <w:tc>
          <w:tcPr>
            <w:tcW w:w="0" w:type="auto"/>
            <w:tcBorders>
              <w:top w:val="nil"/>
              <w:left w:val="nil"/>
              <w:bottom w:val="nil"/>
              <w:right w:val="nil"/>
            </w:tcBorders>
            <w:tcMar>
              <w:top w:w="15" w:type="dxa"/>
              <w:left w:w="75" w:type="dxa"/>
              <w:bottom w:w="15" w:type="dxa"/>
              <w:right w:w="15" w:type="dxa"/>
            </w:tcMar>
            <w:vAlign w:val="center"/>
            <w:hideMark/>
          </w:tcPr>
          <w:p w:rsidR="00344899" w:rsidRDefault="00344899">
            <w:pPr>
              <w:rPr>
                <w:rFonts w:asciiTheme="minorHAnsi" w:eastAsiaTheme="minorEastAsia" w:hAnsiTheme="minorHAnsi" w:cstheme="minorBidi"/>
                <w:kern w:val="2"/>
                <w:sz w:val="21"/>
                <w:szCs w:val="22"/>
              </w:rPr>
            </w:pPr>
          </w:p>
        </w:tc>
        <w:tc>
          <w:tcPr>
            <w:tcW w:w="0" w:type="auto"/>
            <w:tcBorders>
              <w:top w:val="nil"/>
              <w:left w:val="nil"/>
              <w:bottom w:val="nil"/>
              <w:right w:val="nil"/>
            </w:tcBorders>
            <w:tcMar>
              <w:top w:w="15" w:type="dxa"/>
              <w:left w:w="75" w:type="dxa"/>
              <w:bottom w:w="15" w:type="dxa"/>
              <w:right w:w="15" w:type="dxa"/>
            </w:tcMar>
            <w:vAlign w:val="center"/>
            <w:hideMark/>
          </w:tcPr>
          <w:p w:rsidR="00344899" w:rsidRDefault="00344899">
            <w:pPr>
              <w:rPr>
                <w:rFonts w:asciiTheme="minorHAnsi" w:eastAsiaTheme="minorEastAsia" w:hAnsiTheme="minorHAnsi" w:cstheme="minorBidi"/>
                <w:kern w:val="2"/>
                <w:sz w:val="21"/>
                <w:szCs w:val="22"/>
              </w:rPr>
            </w:pPr>
          </w:p>
        </w:tc>
      </w:tr>
      <w:tr w:rsidR="00344899" w:rsidTr="00344899">
        <w:trPr>
          <w:tblCellSpacing w:w="15" w:type="dxa"/>
        </w:trPr>
        <w:tc>
          <w:tcPr>
            <w:tcW w:w="0" w:type="auto"/>
            <w:tcBorders>
              <w:top w:val="nil"/>
              <w:left w:val="nil"/>
              <w:bottom w:val="nil"/>
              <w:right w:val="nil"/>
            </w:tcBorders>
            <w:tcMar>
              <w:top w:w="15" w:type="dxa"/>
              <w:left w:w="75" w:type="dxa"/>
              <w:bottom w:w="15" w:type="dxa"/>
              <w:right w:w="15" w:type="dxa"/>
            </w:tcMar>
            <w:vAlign w:val="center"/>
            <w:hideMark/>
          </w:tcPr>
          <w:p w:rsidR="00344899" w:rsidRDefault="00344899">
            <w:pPr>
              <w:rPr>
                <w:rFonts w:asciiTheme="minorHAnsi" w:eastAsiaTheme="minorEastAsia" w:hAnsiTheme="minorHAnsi" w:cstheme="minorBidi"/>
                <w:kern w:val="2"/>
                <w:sz w:val="21"/>
                <w:szCs w:val="22"/>
              </w:rPr>
            </w:pPr>
          </w:p>
        </w:tc>
        <w:tc>
          <w:tcPr>
            <w:tcW w:w="0" w:type="auto"/>
            <w:tcBorders>
              <w:top w:val="nil"/>
              <w:left w:val="nil"/>
              <w:bottom w:val="nil"/>
              <w:right w:val="nil"/>
            </w:tcBorders>
            <w:tcMar>
              <w:top w:w="15" w:type="dxa"/>
              <w:left w:w="75" w:type="dxa"/>
              <w:bottom w:w="15" w:type="dxa"/>
              <w:right w:w="15" w:type="dxa"/>
            </w:tcMar>
            <w:vAlign w:val="center"/>
            <w:hideMark/>
          </w:tcPr>
          <w:p w:rsidR="00344899" w:rsidRDefault="00344899">
            <w:pPr>
              <w:rPr>
                <w:rFonts w:asciiTheme="minorHAnsi" w:eastAsiaTheme="minorEastAsia" w:hAnsiTheme="minorHAnsi" w:cstheme="minorBidi"/>
                <w:kern w:val="2"/>
                <w:sz w:val="21"/>
                <w:szCs w:val="22"/>
              </w:rPr>
            </w:pPr>
          </w:p>
        </w:tc>
        <w:tc>
          <w:tcPr>
            <w:tcW w:w="0" w:type="auto"/>
            <w:tcBorders>
              <w:top w:val="nil"/>
              <w:left w:val="nil"/>
              <w:bottom w:val="nil"/>
              <w:right w:val="nil"/>
            </w:tcBorders>
            <w:tcMar>
              <w:top w:w="15" w:type="dxa"/>
              <w:left w:w="75" w:type="dxa"/>
              <w:bottom w:w="15" w:type="dxa"/>
              <w:right w:w="15" w:type="dxa"/>
            </w:tcMar>
            <w:vAlign w:val="center"/>
            <w:hideMark/>
          </w:tcPr>
          <w:p w:rsidR="00344899" w:rsidRDefault="00344899">
            <w:pPr>
              <w:rPr>
                <w:rFonts w:asciiTheme="minorHAnsi" w:eastAsiaTheme="minorEastAsia" w:hAnsiTheme="minorHAnsi" w:cstheme="minorBidi"/>
                <w:kern w:val="2"/>
                <w:sz w:val="21"/>
                <w:szCs w:val="22"/>
              </w:rPr>
            </w:pPr>
          </w:p>
        </w:tc>
      </w:tr>
      <w:tr w:rsidR="00344899" w:rsidTr="00344899">
        <w:trPr>
          <w:tblCellSpacing w:w="15" w:type="dxa"/>
        </w:trPr>
        <w:tc>
          <w:tcPr>
            <w:tcW w:w="15120" w:type="dxa"/>
            <w:gridSpan w:val="3"/>
            <w:tcBorders>
              <w:top w:val="nil"/>
              <w:left w:val="nil"/>
              <w:bottom w:val="nil"/>
              <w:right w:val="nil"/>
            </w:tcBorders>
            <w:tcMar>
              <w:top w:w="15" w:type="dxa"/>
              <w:left w:w="75" w:type="dxa"/>
              <w:bottom w:w="15" w:type="dxa"/>
              <w:right w:w="15" w:type="dxa"/>
            </w:tcMar>
            <w:vAlign w:val="center"/>
            <w:hideMark/>
          </w:tcPr>
          <w:p w:rsidR="00344899" w:rsidRDefault="00344899">
            <w:pPr>
              <w:rPr>
                <w:kern w:val="2"/>
              </w:rPr>
            </w:pPr>
            <w:r>
              <w:rPr>
                <w:noProof/>
                <w:kern w:val="2"/>
              </w:rPr>
              <w:drawing>
                <wp:inline distT="0" distB="0" distL="0" distR="0">
                  <wp:extent cx="8896350" cy="76200"/>
                  <wp:effectExtent l="19050" t="0" r="0" b="0"/>
                  <wp:docPr id="29" name="图片 28" descr="http://www.starhousechina.com/M/img/工商快报/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arhousechina.com/M/img/工商快报/line.gif"/>
                          <pic:cNvPicPr>
                            <a:picLocks noChangeAspect="1" noChangeArrowheads="1"/>
                          </pic:cNvPicPr>
                        </pic:nvPicPr>
                        <pic:blipFill>
                          <a:blip r:embed="rId38"/>
                          <a:srcRect/>
                          <a:stretch>
                            <a:fillRect/>
                          </a:stretch>
                        </pic:blipFill>
                        <pic:spPr bwMode="auto">
                          <a:xfrm>
                            <a:off x="0" y="0"/>
                            <a:ext cx="8896350" cy="76200"/>
                          </a:xfrm>
                          <a:prstGeom prst="rect">
                            <a:avLst/>
                          </a:prstGeom>
                          <a:noFill/>
                          <a:ln w="9525">
                            <a:noFill/>
                            <a:miter lim="800000"/>
                            <a:headEnd/>
                            <a:tailEnd/>
                          </a:ln>
                        </pic:spPr>
                      </pic:pic>
                    </a:graphicData>
                  </a:graphic>
                </wp:inline>
              </w:drawing>
            </w:r>
          </w:p>
        </w:tc>
      </w:tr>
      <w:tr w:rsidR="00344899" w:rsidTr="00344899">
        <w:trPr>
          <w:tblCellSpacing w:w="15" w:type="dxa"/>
        </w:trPr>
        <w:tc>
          <w:tcPr>
            <w:tcW w:w="15120" w:type="dxa"/>
            <w:gridSpan w:val="3"/>
            <w:tcBorders>
              <w:top w:val="nil"/>
              <w:left w:val="nil"/>
              <w:bottom w:val="nil"/>
              <w:right w:val="nil"/>
            </w:tcBorders>
            <w:tcMar>
              <w:top w:w="15" w:type="dxa"/>
              <w:left w:w="75" w:type="dxa"/>
              <w:bottom w:w="15" w:type="dxa"/>
              <w:right w:w="15" w:type="dxa"/>
            </w:tcMar>
            <w:vAlign w:val="center"/>
            <w:hideMark/>
          </w:tcPr>
          <w:p w:rsidR="00344899" w:rsidRDefault="00344899">
            <w:pPr>
              <w:spacing w:line="375" w:lineRule="atLeast"/>
              <w:rPr>
                <w:rFonts w:ascii="微软雅黑" w:eastAsia="微软雅黑" w:hAnsi="微软雅黑"/>
                <w:kern w:val="2"/>
                <w:sz w:val="20"/>
                <w:szCs w:val="20"/>
              </w:rPr>
            </w:pPr>
            <w:r>
              <w:rPr>
                <w:rFonts w:ascii="微软雅黑" w:eastAsia="微软雅黑" w:hAnsi="微软雅黑" w:hint="eastAsia"/>
                <w:kern w:val="2"/>
                <w:sz w:val="20"/>
                <w:szCs w:val="20"/>
              </w:rPr>
              <w:t>本报告所刊载的数据均来自可靠来源，但华房数据及其员工不对数据的真实性合法性作出任何保证或陈述。报告内容有可能会出现错误、遗漏、或价格租金变动及其他情况，还有在事前未经通知的销售、出租、融资或撤回。所有刊载 的预测、意见、假设或估计只作例子说明供参考，并不绝对代表地产市场的真实准确现况或未来表现。</w:t>
            </w:r>
            <w:r>
              <w:rPr>
                <w:rFonts w:ascii="微软雅黑" w:eastAsia="微软雅黑" w:hAnsi="微软雅黑" w:hint="eastAsia"/>
                <w:kern w:val="2"/>
                <w:sz w:val="20"/>
                <w:szCs w:val="20"/>
              </w:rPr>
              <w:br/>
            </w:r>
            <w:r>
              <w:rPr>
                <w:rFonts w:ascii="微软雅黑" w:eastAsia="微软雅黑" w:hAnsi="微软雅黑" w:hint="eastAsia"/>
                <w:kern w:val="2"/>
                <w:sz w:val="20"/>
                <w:szCs w:val="20"/>
              </w:rPr>
              <w:br/>
              <w:t xml:space="preserve">华房数据保留一切版权，未经许可，不得转载。 </w:t>
            </w:r>
          </w:p>
        </w:tc>
      </w:tr>
    </w:tbl>
    <w:p w:rsidR="00344899" w:rsidRDefault="00344899" w:rsidP="00344899"/>
    <w:p w:rsidR="00F26F21" w:rsidRPr="00344899" w:rsidRDefault="00F26F21"/>
    <w:sectPr w:rsidR="00F26F21" w:rsidRPr="00344899" w:rsidSect="00894DD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5B8D" w:rsidRDefault="004F5B8D" w:rsidP="00344899">
      <w:r>
        <w:separator/>
      </w:r>
    </w:p>
  </w:endnote>
  <w:endnote w:type="continuationSeparator" w:id="1">
    <w:p w:rsidR="004F5B8D" w:rsidRDefault="004F5B8D" w:rsidP="0034489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5B8D" w:rsidRDefault="004F5B8D" w:rsidP="00344899">
      <w:r>
        <w:separator/>
      </w:r>
    </w:p>
  </w:footnote>
  <w:footnote w:type="continuationSeparator" w:id="1">
    <w:p w:rsidR="004F5B8D" w:rsidRDefault="004F5B8D" w:rsidP="003448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E14CF"/>
    <w:rsid w:val="00344899"/>
    <w:rsid w:val="004F5B8D"/>
    <w:rsid w:val="00894DD5"/>
    <w:rsid w:val="00BE14CF"/>
    <w:rsid w:val="00F26F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4CF"/>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E14CF"/>
    <w:rPr>
      <w:color w:val="0000FF"/>
      <w:u w:val="single"/>
    </w:rPr>
  </w:style>
  <w:style w:type="paragraph" w:styleId="a4">
    <w:name w:val="Balloon Text"/>
    <w:basedOn w:val="a"/>
    <w:link w:val="Char"/>
    <w:uiPriority w:val="99"/>
    <w:semiHidden/>
    <w:unhideWhenUsed/>
    <w:rsid w:val="00BE14CF"/>
    <w:rPr>
      <w:sz w:val="18"/>
      <w:szCs w:val="18"/>
    </w:rPr>
  </w:style>
  <w:style w:type="character" w:customStyle="1" w:styleId="Char">
    <w:name w:val="批注框文本 Char"/>
    <w:basedOn w:val="a0"/>
    <w:link w:val="a4"/>
    <w:uiPriority w:val="99"/>
    <w:semiHidden/>
    <w:rsid w:val="00BE14CF"/>
    <w:rPr>
      <w:rFonts w:ascii="宋体" w:eastAsia="宋体" w:hAnsi="宋体" w:cs="宋体"/>
      <w:kern w:val="0"/>
      <w:sz w:val="18"/>
      <w:szCs w:val="18"/>
    </w:rPr>
  </w:style>
  <w:style w:type="paragraph" w:styleId="a5">
    <w:name w:val="header"/>
    <w:basedOn w:val="a"/>
    <w:link w:val="Char0"/>
    <w:uiPriority w:val="99"/>
    <w:semiHidden/>
    <w:unhideWhenUsed/>
    <w:rsid w:val="003448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344899"/>
    <w:rPr>
      <w:rFonts w:ascii="宋体" w:eastAsia="宋体" w:hAnsi="宋体" w:cs="宋体"/>
      <w:kern w:val="0"/>
      <w:sz w:val="18"/>
      <w:szCs w:val="18"/>
    </w:rPr>
  </w:style>
  <w:style w:type="paragraph" w:styleId="a6">
    <w:name w:val="footer"/>
    <w:basedOn w:val="a"/>
    <w:link w:val="Char1"/>
    <w:uiPriority w:val="99"/>
    <w:semiHidden/>
    <w:unhideWhenUsed/>
    <w:rsid w:val="00344899"/>
    <w:pPr>
      <w:tabs>
        <w:tab w:val="center" w:pos="4153"/>
        <w:tab w:val="right" w:pos="8306"/>
      </w:tabs>
      <w:snapToGrid w:val="0"/>
    </w:pPr>
    <w:rPr>
      <w:sz w:val="18"/>
      <w:szCs w:val="18"/>
    </w:rPr>
  </w:style>
  <w:style w:type="character" w:customStyle="1" w:styleId="Char1">
    <w:name w:val="页脚 Char"/>
    <w:basedOn w:val="a0"/>
    <w:link w:val="a6"/>
    <w:uiPriority w:val="99"/>
    <w:semiHidden/>
    <w:rsid w:val="00344899"/>
    <w:rPr>
      <w:rFonts w:ascii="宋体" w:eastAsia="宋体" w:hAnsi="宋体" w:cs="宋体"/>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4CF"/>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E14CF"/>
    <w:rPr>
      <w:color w:val="0000FF"/>
      <w:u w:val="single"/>
    </w:rPr>
  </w:style>
  <w:style w:type="paragraph" w:styleId="a4">
    <w:name w:val="Balloon Text"/>
    <w:basedOn w:val="a"/>
    <w:link w:val="Char"/>
    <w:uiPriority w:val="99"/>
    <w:semiHidden/>
    <w:unhideWhenUsed/>
    <w:rsid w:val="00BE14CF"/>
    <w:rPr>
      <w:sz w:val="18"/>
      <w:szCs w:val="18"/>
    </w:rPr>
  </w:style>
  <w:style w:type="character" w:customStyle="1" w:styleId="Char">
    <w:name w:val="批注框文本 Char"/>
    <w:basedOn w:val="a0"/>
    <w:link w:val="a4"/>
    <w:uiPriority w:val="99"/>
    <w:semiHidden/>
    <w:rsid w:val="00BE14CF"/>
    <w:rPr>
      <w:rFonts w:ascii="宋体" w:eastAsia="宋体" w:hAnsi="宋体" w:cs="宋体"/>
      <w:kern w:val="0"/>
      <w:sz w:val="18"/>
      <w:szCs w:val="18"/>
    </w:rPr>
  </w:style>
</w:styles>
</file>

<file path=word/webSettings.xml><?xml version="1.0" encoding="utf-8"?>
<w:webSettings xmlns:r="http://schemas.openxmlformats.org/officeDocument/2006/relationships" xmlns:w="http://schemas.openxmlformats.org/wordprocessingml/2006/main">
  <w:divs>
    <w:div w:id="606036659">
      <w:bodyDiv w:val="1"/>
      <w:marLeft w:val="0"/>
      <w:marRight w:val="0"/>
      <w:marTop w:val="0"/>
      <w:marBottom w:val="0"/>
      <w:divBdr>
        <w:top w:val="none" w:sz="0" w:space="0" w:color="auto"/>
        <w:left w:val="none" w:sz="0" w:space="0" w:color="auto"/>
        <w:bottom w:val="none" w:sz="0" w:space="0" w:color="auto"/>
        <w:right w:val="none" w:sz="0" w:space="0" w:color="auto"/>
      </w:divBdr>
    </w:div>
    <w:div w:id="140012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gif"/><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liqin@worldunion.com.cn" TargetMode="External"/><Relationship Id="rId33" Type="http://schemas.openxmlformats.org/officeDocument/2006/relationships/hyperlink" Target="http://www.strategy-worldunion.com/list/?51_1.html" TargetMode="External"/><Relationship Id="rId38" Type="http://schemas.openxmlformats.org/officeDocument/2006/relationships/image" Target="media/image28.gif"/><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41"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gif"/><Relationship Id="rId32" Type="http://schemas.openxmlformats.org/officeDocument/2006/relationships/image" Target="media/image24.jpeg"/><Relationship Id="rId37" Type="http://schemas.openxmlformats.org/officeDocument/2006/relationships/hyperlink" Target="http://www.worldunion.com.cn/cn/chuban/books.aspx"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starhousechina.com/home/" TargetMode="External"/><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ww.strategy-worldunion.com/list/?51_1.html"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615</Words>
  <Characters>3512</Characters>
  <Application>Microsoft Office Word</Application>
  <DocSecurity>0</DocSecurity>
  <Lines>29</Lines>
  <Paragraphs>8</Paragraphs>
  <ScaleCrop>false</ScaleCrop>
  <Company>Microsoft</Company>
  <LinksUpToDate>false</LinksUpToDate>
  <CharactersWithSpaces>4119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林立荣(WA02040)</dc:creator>
  <cp:lastModifiedBy>wa00885</cp:lastModifiedBy>
  <cp:revision>2</cp:revision>
  <dcterms:created xsi:type="dcterms:W3CDTF">2015-05-14T03:02:00Z</dcterms:created>
  <dcterms:modified xsi:type="dcterms:W3CDTF">2015-07-13T07:20:00Z</dcterms:modified>
</cp:coreProperties>
</file>