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180" w:type="dxa"/>
        <w:tblCellSpacing w:w="15" w:type="dxa"/>
        <w:tblBorders>
          <w:top w:val="single" w:sz="6" w:space="0" w:color="DBD6D6"/>
          <w:left w:val="single" w:sz="48" w:space="0" w:color="B13125"/>
          <w:bottom w:val="single" w:sz="6" w:space="0" w:color="DBD6D6"/>
          <w:right w:val="single" w:sz="6" w:space="0" w:color="DBD6D6"/>
        </w:tblBorders>
        <w:tblCellMar>
          <w:left w:w="75" w:type="dxa"/>
        </w:tblCellMar>
        <w:tblLook w:val="04A0"/>
      </w:tblPr>
      <w:tblGrid>
        <w:gridCol w:w="5228"/>
        <w:gridCol w:w="4658"/>
        <w:gridCol w:w="5565"/>
      </w:tblGrid>
      <w:tr w:rsidR="00344899" w:rsidTr="00344899">
        <w:trPr>
          <w:tblCellSpacing w:w="15" w:type="dxa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bookmarkStart w:id="0" w:name="_GoBack"/>
            <w:bookmarkEnd w:id="0"/>
            <w:r>
              <w:rPr>
                <w:noProof/>
                <w:kern w:val="2"/>
              </w:rPr>
              <w:drawing>
                <wp:inline distT="0" distB="0" distL="0" distR="0">
                  <wp:extent cx="3124200" cy="1514475"/>
                  <wp:effectExtent l="19050" t="0" r="0" b="0"/>
                  <wp:docPr id="56" name="图片 1" descr="http://www.starhousechina.com/M/img/工商快报/工商快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arhousechina.com/M/img/工商快报/工商快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r>
              <w:rPr>
                <w:noProof/>
                <w:kern w:val="2"/>
              </w:rPr>
              <w:drawing>
                <wp:inline distT="0" distB="0" distL="0" distR="0">
                  <wp:extent cx="2352675" cy="714375"/>
                  <wp:effectExtent l="19050" t="0" r="9525" b="0"/>
                  <wp:docPr id="55" name="图片 2" descr="http://www.starhousechina.com/M/img/工商快报/华房数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arhousechina.com/M/img/工商快报/华房数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899" w:rsidRDefault="00344899" w:rsidP="00E55B8B">
            <w:pPr>
              <w:jc w:val="center"/>
              <w:rPr>
                <w:kern w:val="2"/>
                <w:sz w:val="38"/>
                <w:szCs w:val="38"/>
              </w:rPr>
            </w:pPr>
            <w:r>
              <w:rPr>
                <w:rFonts w:hint="eastAsia"/>
                <w:kern w:val="2"/>
                <w:sz w:val="38"/>
                <w:szCs w:val="38"/>
              </w:rPr>
              <w:t>2015年</w:t>
            </w:r>
            <w:r w:rsidR="00B625AA">
              <w:rPr>
                <w:rFonts w:hint="eastAsia"/>
                <w:kern w:val="2"/>
                <w:sz w:val="38"/>
                <w:szCs w:val="38"/>
              </w:rPr>
              <w:t>6</w:t>
            </w:r>
            <w:r>
              <w:rPr>
                <w:rFonts w:hint="eastAsia"/>
                <w:kern w:val="2"/>
                <w:sz w:val="38"/>
                <w:szCs w:val="38"/>
              </w:rPr>
              <w:t>月</w:t>
            </w:r>
            <w:r w:rsidR="00B625AA">
              <w:rPr>
                <w:rFonts w:hint="eastAsia"/>
                <w:kern w:val="2"/>
                <w:sz w:val="38"/>
                <w:szCs w:val="38"/>
              </w:rPr>
              <w:t>1</w:t>
            </w:r>
            <w:r w:rsidR="00E55B8B">
              <w:rPr>
                <w:rFonts w:hint="eastAsia"/>
                <w:kern w:val="2"/>
                <w:sz w:val="38"/>
                <w:szCs w:val="38"/>
              </w:rPr>
              <w:t>8</w:t>
            </w:r>
            <w:r>
              <w:rPr>
                <w:rFonts w:hint="eastAsia"/>
                <w:kern w:val="2"/>
                <w:sz w:val="38"/>
                <w:szCs w:val="38"/>
              </w:rPr>
              <w:t>日 第1</w:t>
            </w:r>
            <w:r w:rsidR="00B625AA">
              <w:rPr>
                <w:rFonts w:hint="eastAsia"/>
                <w:kern w:val="2"/>
                <w:sz w:val="38"/>
                <w:szCs w:val="38"/>
              </w:rPr>
              <w:t>1</w:t>
            </w:r>
            <w:r>
              <w:rPr>
                <w:rFonts w:hint="eastAsia"/>
                <w:kern w:val="2"/>
                <w:sz w:val="38"/>
                <w:szCs w:val="38"/>
              </w:rPr>
              <w:t>期</w:t>
            </w:r>
          </w:p>
        </w:tc>
      </w:tr>
      <w:tr w:rsidR="00344899" w:rsidTr="00344899">
        <w:trPr>
          <w:tblCellSpacing w:w="15" w:type="dxa"/>
        </w:trPr>
        <w:tc>
          <w:tcPr>
            <w:tcW w:w="151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r>
              <w:rPr>
                <w:noProof/>
                <w:kern w:val="2"/>
              </w:rPr>
              <w:drawing>
                <wp:inline distT="0" distB="0" distL="0" distR="0">
                  <wp:extent cx="9525000" cy="2524125"/>
                  <wp:effectExtent l="19050" t="0" r="0" b="0"/>
                  <wp:docPr id="54" name="图片 3" descr="http://www.starhousechina.com/M/img/工商快报/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arhousechina.com/M/img/工商快报/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9450" w:type="dxa"/>
              <w:tblCellSpacing w:w="15" w:type="dxa"/>
              <w:tblLook w:val="04A0"/>
            </w:tblPr>
            <w:tblGrid>
              <w:gridCol w:w="9751"/>
            </w:tblGrid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905500" cy="809625"/>
                        <wp:effectExtent l="19050" t="0" r="0" b="0"/>
                        <wp:docPr id="53" name="图片 4" descr="http://www.starhousechina.com/M/img/工商快报/大宗买卖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tarhousechina.com/M/img/工商快报/大宗买卖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卖出</w:t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CF5C30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CF5C3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CF5C3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10</w:t>
                        </w:r>
                        <w:r w:rsidR="00CE7F7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上海市土地交易市场挂牌出让</w:t>
                        </w:r>
                        <w:r w:rsidR="00CF5C30" w:rsidRPr="00CF5C30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杨浦区平凉社区01E2-01、02地块（12、13街坊）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CF5C30" w:rsidRPr="00CF5C30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34650.50</w:t>
                        </w:r>
                        <w:r w:rsidRPr="00CF5C30"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，商办用地。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811A49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811A4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811A4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上海市土地交易市场挂牌出让</w:t>
                        </w:r>
                        <w:r w:rsidR="00811A49" w:rsidRPr="00811A4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徐汇区枫林街道125a-23A地块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811A49" w:rsidRPr="00811A4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6630.70</w:t>
                        </w:r>
                        <w:r w:rsidRPr="00811A49"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，办公用地。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811A49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811A4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811A4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上海市土地交易市场挂牌出让</w:t>
                        </w:r>
                        <w:r w:rsidR="00811A49" w:rsidRPr="00811A4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浦东新区黄浦江南延伸段前滩地区Z000801编制单元43-01地块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811A49" w:rsidRPr="00811A4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6511.60</w:t>
                        </w:r>
                        <w:r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，</w:t>
                        </w:r>
                        <w:r w:rsidR="00811A49"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商办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用地。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002B19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11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成都市公共资源交易服务中心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挂牌出让</w:t>
                        </w:r>
                        <w:r w:rsidR="00002B19" w:rsidRPr="00002B1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新津县永商镇梨花村十三组</w:t>
                        </w:r>
                        <w:r w:rsid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002B19" w:rsidRPr="00002B1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846.83</w:t>
                        </w:r>
                        <w:r w:rsidRPr="00002B19"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 w:rsidRP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，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商业用地。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 w:rsidTr="00002B1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</w:t>
                        </w:r>
                        <w:r w:rsid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06-11 成都市公共资源交易服务中心挂牌出让</w:t>
                        </w:r>
                        <w:r w:rsidR="00002B19" w:rsidRPr="00002B1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邛崃市318国道东侧</w:t>
                        </w:r>
                        <w:r w:rsid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002B19" w:rsidRPr="00002B1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18382.00</w:t>
                        </w:r>
                        <w:r w:rsidRPr="00002B1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，商业用地。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买进</w:t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 w:rsidTr="006A702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6A702C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27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阳光保险集团股份有限公司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南山区后海中心区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地块土地使用权，土地面积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3610.13</w:t>
                        </w:r>
                        <w:r w:rsidRP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㎡，成交价格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129600.</w:t>
                        </w:r>
                        <w:r w:rsidRP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0万元，商</w:t>
                        </w:r>
                        <w:r w:rsidR="006A702C"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业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用地。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 w:rsidTr="006A702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6A702C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03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绿地地产集团有限公司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挂牌竞得上海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嘉定区江桥镇北虹桥社区63-02、63-09地块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23607.20</w:t>
                        </w:r>
                        <w:r w:rsidRP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㎡，成交价格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28329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.00万元，商办用地。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 w:rsidTr="006A702C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6A702C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-0</w:t>
                        </w:r>
                        <w:r w:rsid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绿地地产集团有限公司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挂牌竞得上海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杨浦区定海社区H3-1（153街坊）地块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7147.20</w:t>
                        </w:r>
                        <w:r w:rsidRPr="006A702C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㎡，成交价格</w:t>
                        </w:r>
                        <w:r w:rsidR="006A702C" w:rsidRPr="006A702C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21726.00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万元，商办用地。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 w:rsidTr="00C05C35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C05C35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-0</w:t>
                        </w:r>
                        <w:r w:rsid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C05C35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天健置业（上海）有限公司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挂牌竞得上海</w:t>
                        </w:r>
                        <w:r w:rsidR="00405B02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浦东新区南码头社区Z000302编制单元14-03c地块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C05C35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9084.80</w:t>
                        </w:r>
                        <w:r w:rsidRP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㎡，成交价格</w:t>
                        </w:r>
                        <w:r w:rsidR="00C05C35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60500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.00万元，</w:t>
                        </w:r>
                        <w:r w:rsid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办公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用地。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 w:rsidTr="00C05C35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C05C35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</w:t>
                        </w:r>
                        <w:r w:rsid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C05C35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重庆市空港新城建设投资（集团）有限公司</w:t>
                        </w:r>
                        <w:r w:rsid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拍卖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竞得</w:t>
                        </w:r>
                        <w:r w:rsidR="00C05C35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渝北区两路组团F标准分区F107-1号宗地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C05C35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18823</w:t>
                        </w:r>
                        <w:r w:rsidR="00C05C35" w:rsidRP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.00</w:t>
                        </w:r>
                        <w:r w:rsidRP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㎡，成交价格</w:t>
                        </w:r>
                        <w:r w:rsidR="00C05C35" w:rsidRPr="00C05C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22739</w:t>
                        </w:r>
                        <w:r w:rsidR="00C05C35" w:rsidRPr="00C05C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.00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万元，商业用地。 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67400" cy="800100"/>
                        <wp:effectExtent l="19050" t="0" r="0" b="0"/>
                        <wp:docPr id="52" name="图片 5" descr="http://www.starhousechina.com/M/img/工商快报/市场资讯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starhousechina.com/M/img/工商快报/市场资讯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F32E81" w:rsidRDefault="00F32E81" w:rsidP="00F32E81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F32E81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马云旗下基金高价租得香港中环交易广场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F32E81" w:rsidRDefault="00F32E81" w:rsidP="00F32E81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</w:pP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04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Pr="00F32E81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据6月4日港媒消息，马云创办的云峰基金近日租下了中环交易广场高层全层单位，尺租约140元，属扩充业务。据仲量联行资料显示，目前中环商厦空置率仅2.5%，为金融海啸后最低水平。适逢中资渐扩充业务，相信有利中区写字楼租金向上。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F96775" w:rsidRDefault="00F96775" w:rsidP="00F96775">
                        <w:pPr>
                          <w:shd w:val="clear" w:color="auto" w:fill="FFFFFF"/>
                          <w:outlineLvl w:val="1"/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 w:rsidRPr="00F96775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新城吾悦广场落子海口 总体量51万平米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F96775" w:rsidP="00F96775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2015-05-2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5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新城控股董事长王振华在首届商业年会上公布全新商业战略，至2017年，新城吾悦广场将累计开业15个、在建25个，到2020年要达到80个。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206"/>
                  </w:tblGrid>
                  <w:tr w:rsidR="00344899" w:rsidTr="008C5E45">
                    <w:trPr>
                      <w:tblCellSpacing w:w="15" w:type="dxa"/>
                    </w:trPr>
                    <w:tc>
                      <w:tcPr>
                        <w:tcW w:w="914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383BD1" w:rsidRDefault="00383BD1" w:rsidP="00383BD1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8C5E45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中国太平8亿美元投资纽约商业物业</w:t>
                        </w:r>
                      </w:p>
                    </w:tc>
                  </w:tr>
                  <w:tr w:rsidR="00344899" w:rsidTr="008C5E45">
                    <w:trPr>
                      <w:tblCellSpacing w:w="15" w:type="dxa"/>
                    </w:trPr>
                    <w:tc>
                      <w:tcPr>
                        <w:tcW w:w="914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8C5E45" w:rsidRPr="008C5E45" w:rsidRDefault="00344899" w:rsidP="008C5E45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 w:rsidR="00F32E81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2015-05-27</w:t>
                        </w:r>
                      </w:p>
                      <w:p w:rsidR="00344899" w:rsidRPr="00F32E81" w:rsidRDefault="008C5E45" w:rsidP="008C5E45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</w:pPr>
                        <w:r w:rsidRPr="008C5E4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据媒体6月1日消息，中国太平保险联合开元城市发展基金、厚朴资本等通过发起设立海外投资基金的方式，</w:t>
                        </w:r>
                        <w:r w:rsidR="00F32E81" w:rsidRPr="00F32E81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据媒体6月1日消息，中国太平保险联合开元城市发展基金、厚朴资本等通过发起设立海外投资基金的方式，与纽约开发商投资位于美国曼哈顿核心区域的翠贝卡111项目，总投资额约为8亿美元。据了解，翠贝卡111项目位于纽约曼哈顿下城的翠贝卡区，毗邻高盛总部大楼，项目建筑面积约38万平方英尺，共58层。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8C5E45" w:rsidRDefault="008C5E45" w:rsidP="008C5E45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8C5E45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深圳佳华领汇广场有望在今年第三季度入市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8C5E45" w:rsidRDefault="00121676" w:rsidP="00121676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</w:pP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03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="008C5E45" w:rsidRPr="008C5E4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5月31日，百佳华集团品牌发布会公布旗下四个地产项目，总建筑面积约百万平方米。据悉，四个项目分别位于坂田、观澜、坪山和沙井，均为综合体项目，其中坂田项目佳华领汇广场有望在第三季度入市。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29300" cy="838200"/>
                        <wp:effectExtent l="19050" t="0" r="0" b="0"/>
                        <wp:docPr id="51" name="图片 6" descr="http://www.starhousechina.com/M/img/工商快报/前线快报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starhousechina.com/M/img/工商快报/前线快报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93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4762500" cy="3771900"/>
                        <wp:effectExtent l="19050" t="0" r="0" b="0"/>
                        <wp:docPr id="50" name="图片 7" descr="http://www.starhousechina.com/M/aspnet_client/工商快报/广州办公21周20150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starhousechina.com/M/aspnet_client/工商快报/广州办公21周20150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77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4762500" cy="3962400"/>
                        <wp:effectExtent l="19050" t="0" r="0" b="0"/>
                        <wp:docPr id="49" name="图片 8" descr="http://www.starhousechina.com/M/aspnet_client/工商快报/广州商业21周20150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starhousechina.com/M/aspnet_client/工商快报/广州商业21周20150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 w:rsidP="00CD51F0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2015年</w:t>
                  </w:r>
                  <w:r w:rsidR="00CD51F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5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月</w:t>
                  </w:r>
                  <w:r w:rsidR="00CD51F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深圳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新房办公成交TOP5</w:t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CD51F0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object w:dxaOrig="10710" w:dyaOrig="21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79.25pt;height:95.25pt" o:ole="">
                        <v:imagedata r:id="rId14" o:title=""/>
                      </v:shape>
                      <o:OLEObject Type="Embed" ProgID="PBrush" ShapeID="_x0000_i1025" DrawAspect="Content" ObjectID="_1499068295" r:id="rId15"/>
                    </w:object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 w:rsidP="00CD51F0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2015年</w:t>
                  </w:r>
                  <w:r w:rsidR="00CD51F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5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月</w:t>
                  </w:r>
                  <w:r w:rsidR="00CD51F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深圳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新房商业成交TOP5</w:t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CD51F0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object w:dxaOrig="10710" w:dyaOrig="2145">
                      <v:shape id="_x0000_i1026" type="#_x0000_t75" style="width:483pt;height:96.75pt" o:ole="">
                        <v:imagedata r:id="rId16" o:title=""/>
                      </v:shape>
                      <o:OLEObject Type="Embed" ProgID="PBrush" ShapeID="_x0000_i1026" DrawAspect="Content" ObjectID="_1499068296" r:id="rId17"/>
                    </w:object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48350" cy="866775"/>
                        <wp:effectExtent l="19050" t="0" r="0" b="0"/>
                        <wp:docPr id="46" name="图片 11" descr="http://www.starhousechina.com/M/img/工商快报/品牌商家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starhousechina.com/M/img/工商快报/品牌商家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835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9524D2" w:rsidRDefault="009524D2" w:rsidP="009524D2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9524D2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英皇集团在北京东长安街建中国区总部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9524D2" w:rsidRPr="009524D2" w:rsidRDefault="00344899" w:rsidP="009524D2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</w:t>
                        </w:r>
                        <w:r w:rsidR="00E55B8B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4</w:t>
                        </w:r>
                      </w:p>
                      <w:p w:rsidR="00344899" w:rsidRPr="009524D2" w:rsidRDefault="009524D2" w:rsidP="009524D2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9524D2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据6月10日消息，香港英皇集团当日正式向北京市场，推出其在东长安街上的办公商业综合体项目英皇集团中心。项目建成后将作为英皇集团中国区总部，英皇电影城也将入驻于此。未来落成的英皇集团中心将是超过120米高的现代风格建筑，总建筑面积达10万平方米，分为写字楼和商业娱乐2个功能分区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1C3473" w:rsidRDefault="001C3473" w:rsidP="001C3473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1C3473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萧山华润万象汇料明10月开业 总投资34亿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1C3473" w:rsidRDefault="00344899" w:rsidP="001C3473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1C3473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1C3473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03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="001C3473" w:rsidRPr="001C3473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6月3</w:t>
                        </w:r>
                        <w:r w:rsidR="001C3473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日综合市场消息，萧山华润万象汇项目建设顺利进行中</w:t>
                        </w:r>
                        <w:r w:rsidR="001C3473" w:rsidRPr="001C3473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，预计于2016年10月份开业。萧山华润万象汇是华润集团继万象城之后，在杭州的第二座大型商业综合体。该项目总投资34亿元，总建筑面积31万平方米。其中，集中式商业面积10.4万平方米。定位上，萧山华润万象汇将建设成集高端购物、商务办公为一体的现代化、高品质都市综合体，拟将成为萧山顶级商业中心地标之一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9524D2" w:rsidRDefault="009524D2" w:rsidP="009524D2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9524D2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国美全购江西腾达电器 年内计划开店160家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9524D2" w:rsidRDefault="00344899" w:rsidP="009524D2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05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="009524D2" w:rsidRPr="009524D2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国美电器5月28日与中山百汇时代广场正式签约，将在中山开出其第十三家分店，该店位于商场负一层，面积约6500平方米。据国美电器(中山、珠海)总经理郭亨忠透露，截至目前为止，国美在全国范围内已经开设了1780家直营门店，预计今年再开160家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BD3A07" w:rsidRDefault="00344899" w:rsidP="00BD3A07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华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红旗定增10亿元用于门店扩张及社区O2O</w:t>
                        </w:r>
                        <w:r w:rsidR="00BD3A07" w:rsidRPr="00BD3A07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 xml:space="preserve"> 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BD3A07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BD3A07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="00BD3A07" w:rsidRPr="00BD3A07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6月10日，红旗连锁披露定增预案。公司拟以不低于11.80元/股的价格，非公开发行不超过8475万股，募集资金约10亿元。扣除发行费用后全部投入4个项目的建设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广州写字楼</w:t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19775" cy="4533900"/>
                        <wp:effectExtent l="19050" t="0" r="9525" b="0"/>
                        <wp:docPr id="45" name="图片 12" descr="http://www.starhousechina.com/M/aspnet_client/工商快报/广州写字楼西塔20150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starhousechina.com/M/aspnet_client/工商快报/广州写字楼西塔20150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775" cy="453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57875" cy="800100"/>
                        <wp:effectExtent l="19050" t="0" r="9525" b="0"/>
                        <wp:docPr id="44" name="图片 13" descr="http://www.starhousechina.com/M/img/工商快报/境外关注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starhousechina.com/M/img/工商快报/境外关注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78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 w:rsidTr="00CD51F0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61"/>
                  </w:tblGrid>
                  <w:tr w:rsidR="00344899" w:rsidRPr="00CD51F0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CD51F0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 w:rsidRPr="00CD51F0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环球房地产市场可投资物业价值创新高 达13.6 万亿美元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CD51F0" w:rsidP="00CD51F0">
                        <w:pPr>
                          <w:pStyle w:val="a7"/>
                          <w:spacing w:before="0" w:beforeAutospacing="0" w:after="240" w:afterAutospacing="0" w:line="390" w:lineRule="atLeast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CD51F0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重庆新闻网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17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Pr="00CD51F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16 日，全球领先的房地产服务营运商DTZ 戴德梁行今天发表第41 份《Money into Property》年度报告，指出环球房地产市场可投资物业的价值于2014 年再创新高，达到13.6 万亿美元。由投资者所持有的环球房地产物业的价值在2014 年间上升了4%，这个升幅由三个地区所带动，当中以亚太区的年度增长最强劲，达到5.1 万亿美元，升幅为10%。区内增幅又主要来自中国市场的增长，以美元计算的增幅达到21%。若撇除中国，亚太区的投资物业价值只按年上升1%，可见中国市场影响力之巨大。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CD51F0" w:rsidRDefault="00CD51F0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澳洲房价上涨引新一波投资移民潮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CD51F0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新浪地产 2015-06-08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Pr="00CD51F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近期中澳货币互换协议签署、澳币汇率下跌、房价又上涨等现象，再次引发国人投资移民澳洲的热情。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CD51F0" w:rsidRDefault="00CD51F0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 w:rsidRPr="00CD51F0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瞄准国内精英海外置业 万达全球化战略再掀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高潮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CD51F0" w:rsidP="00CD51F0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新浪地产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2015-0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08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Pr="00CD51F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5月30日下午，“万达·伦敦ONE-River Tower河景塔楼至臻新品认购会”最后一站在广州完美收官，为万达海外伦敦ONE项目新品全国范围的巡展活动画上了圆满的句号。伦敦ONE新品 River Tower的市场反响远超预期，中国区仅有14套的数量明显供不应求。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</w:tbl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EDE9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205"/>
            </w:tblGrid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95350"/>
                        <wp:effectExtent l="19050" t="0" r="0" b="0"/>
                        <wp:docPr id="43" name="图片 14" descr="http://www.starhousechina.com/M/img/工商快报/关于华房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starhousechina.com/M/img/工商快报/关于华房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t>华房数据技术有限公司前身为世联数据事业部，1999年成立于深圳，2007年注册专业数据公司，现为世联旗下唯一数据品牌，也是世联中国成员之一。现已在北京、天津、青岛、西安、上海、杭州、南京、广州、东莞、佛山、昆明等地设立了分部。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  <w:t xml:space="preserve">华房数据整合世联平台资源，充分利用代理、评估、金融等多渠道数据源资源。以房地产物业每个房号的交易为数据颗粒，覆盖土地、新房、二手房的完整链条。华房数据致力住宅、工商的分类真实数据的采集，提供专业的数据分析服务，帮助客户准确把握房地产机会，防控投资风险，为客户创造价值。 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09625"/>
                        <wp:effectExtent l="0" t="0" r="0" b="0"/>
                        <wp:docPr id="42" name="图片 15" descr="http://www.starhousechina.com/M/img/工商快报/关于工商数据服务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starhousechina.com/M/img/工商快报/关于工商数据服务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t>深圳华房数据技术有限公司（简称华房数据）工商数据事业部于2007年成立，致力于中国办公楼宇及商业用房数据的收集和研究分析，着眼于了解客户业务、研究市场动态，并与客户建立长期战略伙伴关系，为客户提供最为广泛和全面的工商地产数据及相关咨询服务，以及为客户搭建工商地产交易平台服务，满足客户业务需求，并持续为客户提供基于客户业务发展和管理优化的增值服务。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kern w:val="2"/>
                      <w:sz w:val="20"/>
                      <w:szCs w:val="20"/>
                    </w:rPr>
                    <w:t>需要更多信息，请联系：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kern w:val="2"/>
                      <w:sz w:val="20"/>
                      <w:szCs w:val="20"/>
                    </w:rPr>
                    <w:br/>
                    <w:t>For more information, please contact: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6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143000" cy="1704975"/>
                        <wp:effectExtent l="19050" t="0" r="0" b="0"/>
                        <wp:docPr id="41" name="图片 16" descr="http://www.starhousechina.com/M/img/工商快报/s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starhousechina.com/M/img/工商快报/s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kern w:val="2"/>
                      <w:sz w:val="23"/>
                      <w:szCs w:val="23"/>
                    </w:rPr>
                    <w:t>孙绮 Rachel Sun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英国皇家特许测量师 MRICS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总经理 General Manager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T：+(86 55) 82548095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E：</w:t>
                  </w:r>
                  <w:hyperlink w:history="1">
                    <w:r>
                      <w:rPr>
                        <w:rStyle w:val="a3"/>
                        <w:rFonts w:ascii="微软雅黑" w:eastAsia="微软雅黑" w:hAnsi="微软雅黑" w:hint="eastAsia"/>
                        <w:kern w:val="2"/>
                        <w:sz w:val="20"/>
                        <w:szCs w:val="20"/>
                      </w:rPr>
                      <w:t>SunQ@worldunion.com.cn</w:t>
                    </w:r>
                  </w:hyperlink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85825"/>
                        <wp:effectExtent l="0" t="0" r="0" b="0"/>
                        <wp:docPr id="40" name="图片 17" descr="http://www.starhousechina.com/M/img/工商快报/快速链接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starhousechina.com/M/img/工商快报/快速链接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color w:val="0000FF"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543050" cy="314325"/>
                        <wp:effectExtent l="19050" t="0" r="0" b="0"/>
                        <wp:docPr id="39" name="图片 18" descr="http://www.starhousechina.com/M/img/工商快报/访问我们的网站.gif">
                          <a:hlinkClick xmlns:a="http://schemas.openxmlformats.org/drawingml/2006/main" r:id="rId2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starhousechina.com/M/img/工商快报/访问我们的网站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color w:val="0000FF"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543050" cy="314325"/>
                        <wp:effectExtent l="19050" t="0" r="0" b="0"/>
                        <wp:docPr id="38" name="图片 19" descr="http://www.starhousechina.com/M/img/工商快报/发邮件给我们.gif">
                          <a:hlinkClick xmlns:a="http://schemas.openxmlformats.org/drawingml/2006/main" r:id="rId2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starhousechina.com/M/img/工商快报/发邮件给我们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047750" cy="295275"/>
                        <wp:effectExtent l="19050" t="0" r="0" b="0"/>
                        <wp:docPr id="37" name="图片 20" descr="http://www.starhousechina.com/M/img/工商快报/关注我们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starhousechina.com/M/img/工商快报/关注我们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6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562100" cy="1562100"/>
                        <wp:effectExtent l="19050" t="0" r="0" b="0"/>
                        <wp:docPr id="36" name="图片 21" descr="http://www.starhousechina.com/M/img/工商快报/Rco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starhousechina.com/M/img/工商快报/Rco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38200"/>
                        <wp:effectExtent l="0" t="0" r="0" b="0"/>
                        <wp:docPr id="35" name="图片 22" descr="http://www.starhousechina.com/M/img/工商快报/华房报告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starhousechina.com/M/img/工商快报/华房报告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2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1152525"/>
                        <wp:effectExtent l="19050" t="0" r="0" b="0"/>
                        <wp:docPr id="34" name="图片 23" descr="http://www.starhousechina.com/M/img/工商快报/rd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starhousechina.com/M/img/工商快报/rd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color w:val="FF0000"/>
                      <w:kern w:val="2"/>
                      <w:sz w:val="18"/>
                      <w:szCs w:val="18"/>
                    </w:rPr>
                    <w:t>热点城市房地产系列月报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hyperlink r:id="rId33" w:tgtFrame="_blank" w:history="1">
                    <w:r>
                      <w:rPr>
                        <w:rStyle w:val="a3"/>
                        <w:rFonts w:ascii="微软雅黑" w:eastAsia="微软雅黑" w:hAnsi="微软雅黑" w:hint="eastAsia"/>
                        <w:color w:val="000000"/>
                        <w:kern w:val="2"/>
                        <w:sz w:val="18"/>
                        <w:szCs w:val="18"/>
                      </w:rPr>
                      <w:t>《热点城市房地产系列月报》点击阅读</w:t>
                    </w:r>
                  </w:hyperlink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2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2133600"/>
                        <wp:effectExtent l="19050" t="0" r="0" b="0"/>
                        <wp:docPr id="33" name="图片 24" descr="http://www.starhousechina.com/M/img/工商快报/qgf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starhousechina.com/M/img/工商快报/qgf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color w:val="FF0000"/>
                      <w:kern w:val="2"/>
                      <w:sz w:val="18"/>
                      <w:szCs w:val="18"/>
                    </w:rPr>
                    <w:t>全国房地产市场月报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hyperlink r:id="rId35" w:tgtFrame="_blank" w:history="1">
                    <w:r>
                      <w:rPr>
                        <w:rStyle w:val="a3"/>
                        <w:rFonts w:ascii="微软雅黑" w:eastAsia="微软雅黑" w:hAnsi="微软雅黑" w:hint="eastAsia"/>
                        <w:color w:val="000000"/>
                        <w:kern w:val="2"/>
                        <w:sz w:val="18"/>
                        <w:szCs w:val="18"/>
                      </w:rPr>
                      <w:t>《全国房地产市场月报》点击阅读</w:t>
                    </w:r>
                  </w:hyperlink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2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2009775"/>
                        <wp:effectExtent l="19050" t="0" r="0" b="0"/>
                        <wp:docPr id="32" name="图片 25" descr="http://www.starhousechina.com/M/img/工商快报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starhousechina.com/M/img/工商快报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1743075"/>
                        <wp:effectExtent l="19050" t="0" r="0" b="0"/>
                        <wp:docPr id="31" name="图片 26" descr="http://www.starhousechina.com/M/img/工商快报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starhousechina.com/M/img/工商快报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1762125"/>
                        <wp:effectExtent l="19050" t="0" r="0" b="0"/>
                        <wp:docPr id="30" name="图片 27" descr="http://www.starhousechina.com/M/img/工商快报/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starhousechina.com/M/img/工商快报/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color w:val="FF0000"/>
                      <w:kern w:val="2"/>
                      <w:sz w:val="18"/>
                      <w:szCs w:val="18"/>
                    </w:rPr>
                    <w:t>世联系列出版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hyperlink r:id="rId39" w:tgtFrame="_blank" w:history="1">
                    <w:r>
                      <w:rPr>
                        <w:rStyle w:val="a3"/>
                        <w:rFonts w:ascii="微软雅黑" w:eastAsia="微软雅黑" w:hAnsi="微软雅黑" w:hint="eastAsia"/>
                        <w:color w:val="000000"/>
                        <w:kern w:val="2"/>
                        <w:sz w:val="18"/>
                        <w:szCs w:val="18"/>
                      </w:rPr>
                      <w:t>《世联系列出版》点击阅读</w:t>
                    </w:r>
                  </w:hyperlink>
                </w:p>
              </w:tc>
            </w:tr>
          </w:tbl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151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r>
              <w:rPr>
                <w:noProof/>
                <w:kern w:val="2"/>
              </w:rPr>
              <w:drawing>
                <wp:inline distT="0" distB="0" distL="0" distR="0">
                  <wp:extent cx="8896350" cy="76200"/>
                  <wp:effectExtent l="19050" t="0" r="0" b="0"/>
                  <wp:docPr id="29" name="图片 28" descr="http://www.starhousechina.com/M/img/工商快报/l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tarhousechina.com/M/img/工商快报/l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99" w:rsidTr="00344899">
        <w:trPr>
          <w:tblCellSpacing w:w="15" w:type="dxa"/>
        </w:trPr>
        <w:tc>
          <w:tcPr>
            <w:tcW w:w="151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spacing w:line="375" w:lineRule="atLeast"/>
              <w:rPr>
                <w:rFonts w:ascii="微软雅黑" w:eastAsia="微软雅黑" w:hAnsi="微软雅黑"/>
                <w:kern w:val="2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2"/>
                <w:sz w:val="20"/>
                <w:szCs w:val="20"/>
              </w:rPr>
              <w:t>本报告所刊载的数据均来自可靠来源，但华房数据及其员工不对数据的真实性合法性作出任何保证或陈述。报告内容有可能会出现错误、遗漏、或价格租金变动及其他情况，还有在事前未经通知的销售、出租、融资或撤回。所有刊载 的预测、意见、假设或估计只作例子说明供参考，并不绝对代表地产市场的真实准确现况或未来表现。</w:t>
            </w:r>
            <w:r>
              <w:rPr>
                <w:rFonts w:ascii="微软雅黑" w:eastAsia="微软雅黑" w:hAnsi="微软雅黑" w:hint="eastAsia"/>
                <w:kern w:val="2"/>
                <w:sz w:val="20"/>
                <w:szCs w:val="20"/>
              </w:rPr>
              <w:br/>
            </w:r>
            <w:r>
              <w:rPr>
                <w:rFonts w:ascii="微软雅黑" w:eastAsia="微软雅黑" w:hAnsi="微软雅黑" w:hint="eastAsia"/>
                <w:kern w:val="2"/>
                <w:sz w:val="20"/>
                <w:szCs w:val="20"/>
              </w:rPr>
              <w:br/>
              <w:t xml:space="preserve">华房数据保留一切版权，未经许可，不得转载。 </w:t>
            </w:r>
          </w:p>
        </w:tc>
      </w:tr>
    </w:tbl>
    <w:p w:rsidR="00344899" w:rsidRDefault="00344899" w:rsidP="00344899"/>
    <w:p w:rsidR="00F26F21" w:rsidRPr="00344899" w:rsidRDefault="00F26F21"/>
    <w:sectPr w:rsidR="00F26F21" w:rsidRPr="00344899" w:rsidSect="00894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D67" w:rsidRDefault="00A33D67" w:rsidP="00344899">
      <w:r>
        <w:separator/>
      </w:r>
    </w:p>
  </w:endnote>
  <w:endnote w:type="continuationSeparator" w:id="1">
    <w:p w:rsidR="00A33D67" w:rsidRDefault="00A33D67" w:rsidP="00344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D67" w:rsidRDefault="00A33D67" w:rsidP="00344899">
      <w:r>
        <w:separator/>
      </w:r>
    </w:p>
  </w:footnote>
  <w:footnote w:type="continuationSeparator" w:id="1">
    <w:p w:rsidR="00A33D67" w:rsidRDefault="00A33D67" w:rsidP="003448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14CF"/>
    <w:rsid w:val="00002B19"/>
    <w:rsid w:val="00035F84"/>
    <w:rsid w:val="00094CA4"/>
    <w:rsid w:val="00121676"/>
    <w:rsid w:val="0013159F"/>
    <w:rsid w:val="001A68FE"/>
    <w:rsid w:val="001C3473"/>
    <w:rsid w:val="00297379"/>
    <w:rsid w:val="00344899"/>
    <w:rsid w:val="00383BD1"/>
    <w:rsid w:val="00405B02"/>
    <w:rsid w:val="00434B3B"/>
    <w:rsid w:val="00436322"/>
    <w:rsid w:val="004F195D"/>
    <w:rsid w:val="004F5B8D"/>
    <w:rsid w:val="00662399"/>
    <w:rsid w:val="006A702C"/>
    <w:rsid w:val="0074463C"/>
    <w:rsid w:val="00746B7D"/>
    <w:rsid w:val="00811A49"/>
    <w:rsid w:val="00894DD5"/>
    <w:rsid w:val="008A108B"/>
    <w:rsid w:val="008A2D24"/>
    <w:rsid w:val="008C5E45"/>
    <w:rsid w:val="009524D2"/>
    <w:rsid w:val="00A33D67"/>
    <w:rsid w:val="00B625AA"/>
    <w:rsid w:val="00BD3A07"/>
    <w:rsid w:val="00BE14CF"/>
    <w:rsid w:val="00C05C35"/>
    <w:rsid w:val="00C210A0"/>
    <w:rsid w:val="00CD51F0"/>
    <w:rsid w:val="00CE7F7C"/>
    <w:rsid w:val="00CF5C30"/>
    <w:rsid w:val="00D0236C"/>
    <w:rsid w:val="00D272E5"/>
    <w:rsid w:val="00DA60AD"/>
    <w:rsid w:val="00E2273D"/>
    <w:rsid w:val="00E55B8B"/>
    <w:rsid w:val="00F26F21"/>
    <w:rsid w:val="00F32E81"/>
    <w:rsid w:val="00F96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4CF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BD3A07"/>
    <w:pPr>
      <w:outlineLvl w:val="0"/>
    </w:pPr>
    <w:rPr>
      <w:kern w:val="36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14CF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E14C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14CF"/>
    <w:rPr>
      <w:rFonts w:ascii="宋体" w:eastAsia="宋体" w:hAnsi="宋体" w:cs="宋体"/>
      <w:kern w:val="0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448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44899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448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44899"/>
    <w:rPr>
      <w:rFonts w:ascii="宋体" w:eastAsia="宋体" w:hAnsi="宋体" w:cs="宋体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D3A07"/>
    <w:rPr>
      <w:rFonts w:ascii="宋体" w:eastAsia="宋体" w:hAnsi="宋体" w:cs="宋体"/>
      <w:kern w:val="36"/>
      <w:sz w:val="18"/>
      <w:szCs w:val="18"/>
    </w:rPr>
  </w:style>
  <w:style w:type="paragraph" w:styleId="a7">
    <w:name w:val="Normal (Web)"/>
    <w:basedOn w:val="a"/>
    <w:uiPriority w:val="99"/>
    <w:unhideWhenUsed/>
    <w:rsid w:val="00CD51F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4CF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14CF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E14C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14CF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8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3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7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9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747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83873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4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7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3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0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4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8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7791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14582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8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5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54122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188213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5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343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131742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0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1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7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7535">
              <w:marLeft w:val="0"/>
              <w:marRight w:val="0"/>
              <w:marTop w:val="0"/>
              <w:marBottom w:val="0"/>
              <w:divBdr>
                <w:top w:val="single" w:sz="6" w:space="0" w:color="B3B3B3"/>
                <w:left w:val="single" w:sz="6" w:space="0" w:color="B3B3B3"/>
                <w:bottom w:val="single" w:sz="6" w:space="8" w:color="B3B3B3"/>
                <w:right w:val="single" w:sz="6" w:space="0" w:color="B3B3B3"/>
              </w:divBdr>
              <w:divsChild>
                <w:div w:id="83376351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5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8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7304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67662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7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1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0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4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7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5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16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5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8.gif"/><Relationship Id="rId39" Type="http://schemas.openxmlformats.org/officeDocument/2006/relationships/hyperlink" Target="http://www.worldunion.com.cn/cn/chuban/books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hyperlink" Target="http://www.starhousechina.com/home/" TargetMode="External"/><Relationship Id="rId33" Type="http://schemas.openxmlformats.org/officeDocument/2006/relationships/hyperlink" Target="http://www.strategy-worldunion.com/list/?51_1.html" TargetMode="External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8.gif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eg"/><Relationship Id="rId28" Type="http://schemas.openxmlformats.org/officeDocument/2006/relationships/image" Target="media/image19.gif"/><Relationship Id="rId36" Type="http://schemas.openxmlformats.org/officeDocument/2006/relationships/image" Target="media/image25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mailto:liqin@worldunion.com.cn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www.strategy-worldunion.com/list/?51_1.html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593</Words>
  <Characters>3383</Characters>
  <Application>Microsoft Office Word</Application>
  <DocSecurity>0</DocSecurity>
  <Lines>28</Lines>
  <Paragraphs>7</Paragraphs>
  <ScaleCrop>false</ScaleCrop>
  <Company>Microsoft</Company>
  <LinksUpToDate>false</LinksUpToDate>
  <CharactersWithSpaces>3969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林立荣(WA02040)</dc:creator>
  <cp:lastModifiedBy>wa00885</cp:lastModifiedBy>
  <cp:revision>17</cp:revision>
  <dcterms:created xsi:type="dcterms:W3CDTF">2015-05-14T03:02:00Z</dcterms:created>
  <dcterms:modified xsi:type="dcterms:W3CDTF">2015-07-22T03:05:00Z</dcterms:modified>
</cp:coreProperties>
</file>